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9C133" w14:textId="20193C65" w:rsidR="005866B3" w:rsidRPr="005C0595" w:rsidRDefault="005866B3" w:rsidP="005C0595">
      <w:pPr>
        <w:spacing w:after="0" w:line="240" w:lineRule="auto"/>
        <w:jc w:val="center"/>
        <w:rPr>
          <w:rFonts w:cstheme="minorHAnsi"/>
          <w:b/>
          <w:sz w:val="36"/>
          <w:szCs w:val="36"/>
        </w:rPr>
      </w:pPr>
      <w:r w:rsidRPr="005C0595">
        <w:rPr>
          <w:rFonts w:cstheme="minorHAnsi"/>
          <w:b/>
          <w:sz w:val="36"/>
          <w:szCs w:val="36"/>
        </w:rPr>
        <w:t>TERMS OF REFERENCE: GAMBLING HEALTH ALLIANCE</w:t>
      </w:r>
    </w:p>
    <w:p w14:paraId="1D7C4033" w14:textId="77777777" w:rsidR="002A2384" w:rsidRDefault="002A2384" w:rsidP="005C0595">
      <w:pPr>
        <w:spacing w:after="0" w:line="240" w:lineRule="auto"/>
        <w:rPr>
          <w:rFonts w:cstheme="minorHAnsi"/>
          <w:b/>
        </w:rPr>
      </w:pPr>
    </w:p>
    <w:p w14:paraId="4A3EB842" w14:textId="77777777" w:rsidR="00EA00E0" w:rsidRDefault="00EA00E0" w:rsidP="00EA00E0">
      <w:pPr>
        <w:spacing w:after="0" w:line="240" w:lineRule="auto"/>
        <w:rPr>
          <w:rFonts w:cstheme="minorHAnsi"/>
          <w:b/>
          <w:sz w:val="24"/>
          <w:szCs w:val="24"/>
        </w:rPr>
      </w:pPr>
    </w:p>
    <w:p w14:paraId="3535911A" w14:textId="632F8D92" w:rsidR="005866B3" w:rsidRPr="00EA00E0" w:rsidRDefault="005866B3" w:rsidP="00EA00E0">
      <w:pPr>
        <w:spacing w:after="0" w:line="240" w:lineRule="auto"/>
        <w:rPr>
          <w:rFonts w:cstheme="minorHAnsi"/>
          <w:b/>
          <w:sz w:val="24"/>
          <w:szCs w:val="24"/>
        </w:rPr>
      </w:pPr>
      <w:r w:rsidRPr="005C0595">
        <w:rPr>
          <w:rFonts w:cstheme="minorHAnsi"/>
          <w:b/>
          <w:sz w:val="24"/>
          <w:szCs w:val="24"/>
        </w:rPr>
        <w:t>Background</w:t>
      </w:r>
    </w:p>
    <w:p w14:paraId="325712D3" w14:textId="77777777" w:rsidR="00EA00E0" w:rsidRPr="005C0595" w:rsidRDefault="00EA00E0" w:rsidP="005C0595">
      <w:pPr>
        <w:spacing w:after="0" w:line="240" w:lineRule="auto"/>
        <w:rPr>
          <w:rFonts w:cstheme="minorHAnsi"/>
          <w:b/>
          <w:sz w:val="24"/>
          <w:szCs w:val="24"/>
        </w:rPr>
      </w:pPr>
    </w:p>
    <w:p w14:paraId="6E1344A8" w14:textId="20A8029E" w:rsidR="005866B3" w:rsidRPr="00EA00E0" w:rsidRDefault="00B73B82" w:rsidP="00EA00E0">
      <w:pPr>
        <w:spacing w:after="0" w:line="240" w:lineRule="auto"/>
        <w:rPr>
          <w:rFonts w:cstheme="minorHAnsi"/>
          <w:color w:val="000000" w:themeColor="text1"/>
          <w:sz w:val="24"/>
          <w:szCs w:val="24"/>
        </w:rPr>
      </w:pPr>
      <w:r w:rsidRPr="005C0595">
        <w:rPr>
          <w:rFonts w:cstheme="minorHAnsi"/>
          <w:color w:val="000000" w:themeColor="text1"/>
          <w:sz w:val="24"/>
          <w:szCs w:val="24"/>
        </w:rPr>
        <w:t>The evidence is clear: gambling can cause physical and mental harm</w:t>
      </w:r>
      <w:r w:rsidR="00765480" w:rsidRPr="005C0595">
        <w:rPr>
          <w:rFonts w:cstheme="minorHAnsi"/>
          <w:color w:val="000000" w:themeColor="text1"/>
          <w:sz w:val="24"/>
          <w:szCs w:val="24"/>
        </w:rPr>
        <w:t>s</w:t>
      </w:r>
      <w:r w:rsidRPr="005C0595">
        <w:rPr>
          <w:rFonts w:cstheme="minorHAnsi"/>
          <w:color w:val="000000" w:themeColor="text1"/>
          <w:sz w:val="24"/>
          <w:szCs w:val="24"/>
        </w:rPr>
        <w:t>. It affects individual gamblers</w:t>
      </w:r>
      <w:r w:rsidR="006B393C" w:rsidRPr="005C0595">
        <w:rPr>
          <w:rFonts w:cstheme="minorHAnsi"/>
          <w:color w:val="000000" w:themeColor="text1"/>
          <w:sz w:val="24"/>
          <w:szCs w:val="24"/>
        </w:rPr>
        <w:t xml:space="preserve"> as well as their families, friends and communities</w:t>
      </w:r>
      <w:r w:rsidR="00490B58" w:rsidRPr="005C0595">
        <w:rPr>
          <w:rFonts w:cstheme="minorHAnsi"/>
          <w:color w:val="000000" w:themeColor="text1"/>
          <w:sz w:val="24"/>
          <w:szCs w:val="24"/>
        </w:rPr>
        <w:t xml:space="preserve"> and contributes to health inequalities.</w:t>
      </w:r>
      <w:r w:rsidR="006B393C" w:rsidRPr="005C0595">
        <w:rPr>
          <w:rFonts w:cstheme="minorHAnsi"/>
          <w:color w:val="000000" w:themeColor="text1"/>
          <w:sz w:val="24"/>
          <w:szCs w:val="24"/>
        </w:rPr>
        <w:t xml:space="preserve"> The rapid expansion of online gambling</w:t>
      </w:r>
      <w:r w:rsidR="00F746EA">
        <w:rPr>
          <w:rFonts w:cstheme="minorHAnsi"/>
          <w:color w:val="000000" w:themeColor="text1"/>
          <w:sz w:val="24"/>
          <w:szCs w:val="24"/>
        </w:rPr>
        <w:t xml:space="preserve">, the marketing of gambling via sport and </w:t>
      </w:r>
      <w:r w:rsidR="006B393C" w:rsidRPr="005C0595">
        <w:rPr>
          <w:rFonts w:cstheme="minorHAnsi"/>
          <w:color w:val="000000" w:themeColor="text1"/>
          <w:sz w:val="24"/>
          <w:szCs w:val="24"/>
        </w:rPr>
        <w:t>the impact of gambling on young people are</w:t>
      </w:r>
      <w:r w:rsidR="00F746EA">
        <w:rPr>
          <w:rFonts w:cstheme="minorHAnsi"/>
          <w:color w:val="000000" w:themeColor="text1"/>
          <w:sz w:val="24"/>
          <w:szCs w:val="24"/>
        </w:rPr>
        <w:t xml:space="preserve"> among the</w:t>
      </w:r>
      <w:r w:rsidR="006B393C" w:rsidRPr="005C0595">
        <w:rPr>
          <w:rFonts w:cstheme="minorHAnsi"/>
          <w:color w:val="000000" w:themeColor="text1"/>
          <w:sz w:val="24"/>
          <w:szCs w:val="24"/>
        </w:rPr>
        <w:t xml:space="preserve"> issues of particular current concern. A</w:t>
      </w:r>
      <w:r w:rsidR="005866B3" w:rsidRPr="005C0595">
        <w:rPr>
          <w:rFonts w:cstheme="minorHAnsi"/>
          <w:color w:val="000000" w:themeColor="text1"/>
          <w:sz w:val="24"/>
          <w:szCs w:val="24"/>
        </w:rPr>
        <w:t xml:space="preserve"> concerted response from the health policy</w:t>
      </w:r>
      <w:r w:rsidR="002A389F" w:rsidRPr="005C0595">
        <w:rPr>
          <w:rFonts w:cstheme="minorHAnsi"/>
          <w:color w:val="000000" w:themeColor="text1"/>
          <w:sz w:val="24"/>
          <w:szCs w:val="24"/>
        </w:rPr>
        <w:t xml:space="preserve"> world</w:t>
      </w:r>
      <w:r w:rsidR="005866B3" w:rsidRPr="005C0595">
        <w:rPr>
          <w:rFonts w:cstheme="minorHAnsi"/>
          <w:color w:val="000000" w:themeColor="text1"/>
          <w:sz w:val="24"/>
          <w:szCs w:val="24"/>
        </w:rPr>
        <w:t xml:space="preserve"> </w:t>
      </w:r>
      <w:r w:rsidR="006B393C" w:rsidRPr="005C0595">
        <w:rPr>
          <w:rFonts w:cstheme="minorHAnsi"/>
          <w:color w:val="000000" w:themeColor="text1"/>
          <w:sz w:val="24"/>
          <w:szCs w:val="24"/>
        </w:rPr>
        <w:t xml:space="preserve">is required and the </w:t>
      </w:r>
      <w:r w:rsidR="002F7D0A" w:rsidRPr="005C0595">
        <w:rPr>
          <w:rFonts w:cstheme="minorHAnsi"/>
          <w:color w:val="000000" w:themeColor="text1"/>
          <w:sz w:val="24"/>
          <w:szCs w:val="24"/>
        </w:rPr>
        <w:t xml:space="preserve">Royal Society for Public Health </w:t>
      </w:r>
      <w:r w:rsidR="006B393C" w:rsidRPr="005C0595">
        <w:rPr>
          <w:rFonts w:cstheme="minorHAnsi"/>
          <w:color w:val="000000" w:themeColor="text1"/>
          <w:sz w:val="24"/>
          <w:szCs w:val="24"/>
        </w:rPr>
        <w:t>(RSPH) has there</w:t>
      </w:r>
      <w:r w:rsidR="00490B58" w:rsidRPr="005C0595">
        <w:rPr>
          <w:rFonts w:cstheme="minorHAnsi"/>
          <w:color w:val="000000" w:themeColor="text1"/>
          <w:sz w:val="24"/>
          <w:szCs w:val="24"/>
        </w:rPr>
        <w:t>f</w:t>
      </w:r>
      <w:r w:rsidR="006B393C" w:rsidRPr="005C0595">
        <w:rPr>
          <w:rFonts w:cstheme="minorHAnsi"/>
          <w:color w:val="000000" w:themeColor="text1"/>
          <w:sz w:val="24"/>
          <w:szCs w:val="24"/>
        </w:rPr>
        <w:t>ore established the</w:t>
      </w:r>
      <w:r w:rsidR="005866B3" w:rsidRPr="005C0595">
        <w:rPr>
          <w:rFonts w:cstheme="minorHAnsi"/>
          <w:color w:val="000000" w:themeColor="text1"/>
          <w:sz w:val="24"/>
          <w:szCs w:val="24"/>
        </w:rPr>
        <w:t xml:space="preserve"> G</w:t>
      </w:r>
      <w:r w:rsidR="002F7D0A" w:rsidRPr="005C0595">
        <w:rPr>
          <w:rFonts w:cstheme="minorHAnsi"/>
          <w:color w:val="000000" w:themeColor="text1"/>
          <w:sz w:val="24"/>
          <w:szCs w:val="24"/>
        </w:rPr>
        <w:t xml:space="preserve">ambling </w:t>
      </w:r>
      <w:r w:rsidR="005866B3" w:rsidRPr="005C0595">
        <w:rPr>
          <w:rFonts w:cstheme="minorHAnsi"/>
          <w:color w:val="000000" w:themeColor="text1"/>
          <w:sz w:val="24"/>
          <w:szCs w:val="24"/>
        </w:rPr>
        <w:t>H</w:t>
      </w:r>
      <w:r w:rsidR="002F7D0A" w:rsidRPr="005C0595">
        <w:rPr>
          <w:rFonts w:cstheme="minorHAnsi"/>
          <w:color w:val="000000" w:themeColor="text1"/>
          <w:sz w:val="24"/>
          <w:szCs w:val="24"/>
        </w:rPr>
        <w:t xml:space="preserve">ealth </w:t>
      </w:r>
      <w:r w:rsidR="005866B3" w:rsidRPr="005C0595">
        <w:rPr>
          <w:rFonts w:cstheme="minorHAnsi"/>
          <w:color w:val="000000" w:themeColor="text1"/>
          <w:sz w:val="24"/>
          <w:szCs w:val="24"/>
        </w:rPr>
        <w:t>A</w:t>
      </w:r>
      <w:r w:rsidR="002F7D0A" w:rsidRPr="005C0595">
        <w:rPr>
          <w:rFonts w:cstheme="minorHAnsi"/>
          <w:color w:val="000000" w:themeColor="text1"/>
          <w:sz w:val="24"/>
          <w:szCs w:val="24"/>
        </w:rPr>
        <w:t>lliance</w:t>
      </w:r>
      <w:r w:rsidR="006B393C" w:rsidRPr="005C0595">
        <w:rPr>
          <w:rFonts w:cstheme="minorHAnsi"/>
          <w:color w:val="000000" w:themeColor="text1"/>
          <w:sz w:val="24"/>
          <w:szCs w:val="24"/>
        </w:rPr>
        <w:t xml:space="preserve"> (GHA)</w:t>
      </w:r>
      <w:r w:rsidR="002F7D0A" w:rsidRPr="005C0595">
        <w:rPr>
          <w:rFonts w:cstheme="minorHAnsi"/>
          <w:color w:val="000000" w:themeColor="text1"/>
          <w:sz w:val="24"/>
          <w:szCs w:val="24"/>
        </w:rPr>
        <w:t xml:space="preserve"> </w:t>
      </w:r>
      <w:r w:rsidR="005866B3" w:rsidRPr="005C0595">
        <w:rPr>
          <w:rFonts w:cstheme="minorHAnsi"/>
          <w:color w:val="000000" w:themeColor="text1"/>
          <w:sz w:val="24"/>
          <w:szCs w:val="24"/>
        </w:rPr>
        <w:t>t</w:t>
      </w:r>
      <w:r w:rsidR="006B393C" w:rsidRPr="005C0595">
        <w:rPr>
          <w:rFonts w:cstheme="minorHAnsi"/>
          <w:color w:val="000000" w:themeColor="text1"/>
          <w:sz w:val="24"/>
          <w:szCs w:val="24"/>
        </w:rPr>
        <w:t>o catalyse and co-ordinate this</w:t>
      </w:r>
      <w:r w:rsidR="005866B3" w:rsidRPr="005C0595">
        <w:rPr>
          <w:rFonts w:cstheme="minorHAnsi"/>
          <w:color w:val="000000" w:themeColor="text1"/>
          <w:sz w:val="24"/>
          <w:szCs w:val="24"/>
        </w:rPr>
        <w:t>.</w:t>
      </w:r>
    </w:p>
    <w:p w14:paraId="4F9EFA61" w14:textId="77777777" w:rsidR="00EA00E0" w:rsidRPr="005C0595" w:rsidRDefault="00EA00E0" w:rsidP="005C0595">
      <w:pPr>
        <w:spacing w:after="0" w:line="240" w:lineRule="auto"/>
        <w:rPr>
          <w:rFonts w:cstheme="minorHAnsi"/>
          <w:color w:val="000000" w:themeColor="text1"/>
          <w:sz w:val="24"/>
          <w:szCs w:val="24"/>
        </w:rPr>
      </w:pPr>
    </w:p>
    <w:p w14:paraId="26DE24D6" w14:textId="20F82ABD" w:rsidR="00765480" w:rsidRPr="00EA00E0" w:rsidRDefault="00765480" w:rsidP="00EA00E0">
      <w:pPr>
        <w:spacing w:after="0" w:line="240" w:lineRule="auto"/>
        <w:rPr>
          <w:rFonts w:cstheme="minorHAnsi"/>
          <w:sz w:val="24"/>
          <w:szCs w:val="24"/>
        </w:rPr>
      </w:pPr>
      <w:r w:rsidRPr="005C0595">
        <w:rPr>
          <w:rFonts w:cstheme="minorHAnsi"/>
          <w:sz w:val="24"/>
          <w:szCs w:val="24"/>
        </w:rPr>
        <w:t xml:space="preserve">The GHA will be developed using a </w:t>
      </w:r>
      <w:r w:rsidR="00490B58" w:rsidRPr="005C0595">
        <w:rPr>
          <w:rFonts w:cstheme="minorHAnsi"/>
          <w:sz w:val="24"/>
          <w:szCs w:val="24"/>
        </w:rPr>
        <w:t xml:space="preserve">successful coalition-building </w:t>
      </w:r>
      <w:r w:rsidRPr="005C0595">
        <w:rPr>
          <w:rFonts w:cstheme="minorHAnsi"/>
          <w:sz w:val="24"/>
          <w:szCs w:val="24"/>
        </w:rPr>
        <w:t xml:space="preserve">model </w:t>
      </w:r>
      <w:r w:rsidR="00490B58" w:rsidRPr="005C0595">
        <w:rPr>
          <w:rFonts w:cstheme="minorHAnsi"/>
          <w:sz w:val="24"/>
          <w:szCs w:val="24"/>
        </w:rPr>
        <w:t xml:space="preserve">that has been used in relation to other </w:t>
      </w:r>
      <w:r w:rsidRPr="005C0595">
        <w:rPr>
          <w:rFonts w:cstheme="minorHAnsi"/>
          <w:sz w:val="24"/>
          <w:szCs w:val="24"/>
        </w:rPr>
        <w:t>public health priorities</w:t>
      </w:r>
      <w:r w:rsidR="00490B58" w:rsidRPr="005C0595">
        <w:rPr>
          <w:rFonts w:cstheme="minorHAnsi"/>
          <w:sz w:val="24"/>
          <w:szCs w:val="24"/>
        </w:rPr>
        <w:t xml:space="preserve">, </w:t>
      </w:r>
      <w:r w:rsidRPr="005C0595">
        <w:rPr>
          <w:rFonts w:cstheme="minorHAnsi"/>
          <w:sz w:val="24"/>
          <w:szCs w:val="24"/>
        </w:rPr>
        <w:t>includ</w:t>
      </w:r>
      <w:r w:rsidR="00490B58" w:rsidRPr="005C0595">
        <w:rPr>
          <w:rFonts w:cstheme="minorHAnsi"/>
          <w:sz w:val="24"/>
          <w:szCs w:val="24"/>
        </w:rPr>
        <w:t xml:space="preserve">ing the </w:t>
      </w:r>
      <w:r w:rsidR="00490B58" w:rsidRPr="005C0595">
        <w:rPr>
          <w:sz w:val="24"/>
          <w:szCs w:val="24"/>
        </w:rPr>
        <w:t>End High Cost Credit Alliance</w:t>
      </w:r>
      <w:r w:rsidR="00490B58" w:rsidRPr="005C0595">
        <w:rPr>
          <w:rStyle w:val="Hyperlink"/>
          <w:rFonts w:cstheme="minorHAnsi"/>
          <w:color w:val="auto"/>
          <w:sz w:val="24"/>
          <w:szCs w:val="24"/>
          <w:u w:val="none"/>
        </w:rPr>
        <w:t xml:space="preserve">, </w:t>
      </w:r>
      <w:r w:rsidR="00490B58" w:rsidRPr="005C0595">
        <w:rPr>
          <w:sz w:val="24"/>
          <w:szCs w:val="24"/>
        </w:rPr>
        <w:t>Alcohol Health Alliance</w:t>
      </w:r>
      <w:r w:rsidR="00490B58" w:rsidRPr="005C0595">
        <w:rPr>
          <w:rFonts w:cstheme="minorHAnsi"/>
          <w:sz w:val="24"/>
          <w:szCs w:val="24"/>
        </w:rPr>
        <w:t>,</w:t>
      </w:r>
      <w:r w:rsidRPr="005C0595">
        <w:rPr>
          <w:rFonts w:cstheme="minorHAnsi"/>
          <w:sz w:val="24"/>
          <w:szCs w:val="24"/>
        </w:rPr>
        <w:t xml:space="preserve"> </w:t>
      </w:r>
      <w:r w:rsidR="00490B58" w:rsidRPr="005C0595">
        <w:rPr>
          <w:sz w:val="24"/>
          <w:szCs w:val="24"/>
        </w:rPr>
        <w:t>Obesity Health Alliance</w:t>
      </w:r>
      <w:r w:rsidR="00490B58" w:rsidRPr="005C0595">
        <w:rPr>
          <w:rStyle w:val="Hyperlink"/>
          <w:rFonts w:cstheme="minorHAnsi"/>
          <w:color w:val="auto"/>
          <w:sz w:val="24"/>
          <w:szCs w:val="24"/>
          <w:u w:val="none"/>
        </w:rPr>
        <w:t xml:space="preserve"> and</w:t>
      </w:r>
      <w:r w:rsidRPr="005C0595">
        <w:rPr>
          <w:rFonts w:cstheme="minorHAnsi"/>
          <w:sz w:val="24"/>
          <w:szCs w:val="24"/>
        </w:rPr>
        <w:t xml:space="preserve"> </w:t>
      </w:r>
      <w:proofErr w:type="spellStart"/>
      <w:r w:rsidR="00490B58" w:rsidRPr="005C0595">
        <w:rPr>
          <w:sz w:val="24"/>
          <w:szCs w:val="24"/>
        </w:rPr>
        <w:t>Smokefree</w:t>
      </w:r>
      <w:proofErr w:type="spellEnd"/>
      <w:r w:rsidR="00490B58" w:rsidRPr="005C0595">
        <w:rPr>
          <w:sz w:val="24"/>
          <w:szCs w:val="24"/>
        </w:rPr>
        <w:t xml:space="preserve"> Action Coalition</w:t>
      </w:r>
      <w:r w:rsidR="00490B58" w:rsidRPr="005C0595">
        <w:rPr>
          <w:rFonts w:cstheme="minorHAnsi"/>
          <w:sz w:val="24"/>
          <w:szCs w:val="24"/>
        </w:rPr>
        <w:t xml:space="preserve">. </w:t>
      </w:r>
      <w:r w:rsidRPr="005C0595">
        <w:rPr>
          <w:rFonts w:cstheme="minorHAnsi"/>
          <w:sz w:val="24"/>
          <w:szCs w:val="24"/>
        </w:rPr>
        <w:t xml:space="preserve">RSPH is a member of all </w:t>
      </w:r>
      <w:r w:rsidR="00490B58" w:rsidRPr="005C0595">
        <w:rPr>
          <w:rFonts w:cstheme="minorHAnsi"/>
          <w:sz w:val="24"/>
          <w:szCs w:val="24"/>
        </w:rPr>
        <w:t>four of these</w:t>
      </w:r>
      <w:r w:rsidRPr="005C0595">
        <w:rPr>
          <w:rFonts w:cstheme="minorHAnsi"/>
          <w:sz w:val="24"/>
          <w:szCs w:val="24"/>
        </w:rPr>
        <w:t xml:space="preserve"> Alliances.</w:t>
      </w:r>
    </w:p>
    <w:p w14:paraId="1E831A5F" w14:textId="03DCE8AB" w:rsidR="002A2384" w:rsidRPr="00EA00E0" w:rsidRDefault="002A2384" w:rsidP="00EA00E0">
      <w:pPr>
        <w:spacing w:after="0" w:line="240" w:lineRule="auto"/>
        <w:rPr>
          <w:rFonts w:cstheme="minorHAnsi"/>
          <w:b/>
          <w:sz w:val="24"/>
          <w:szCs w:val="24"/>
        </w:rPr>
      </w:pPr>
    </w:p>
    <w:p w14:paraId="4CD6A915" w14:textId="77777777" w:rsidR="00EA00E0" w:rsidRPr="005C0595" w:rsidRDefault="00EA00E0" w:rsidP="005C0595">
      <w:pPr>
        <w:spacing w:after="0" w:line="240" w:lineRule="auto"/>
        <w:rPr>
          <w:rFonts w:cstheme="minorHAnsi"/>
          <w:b/>
          <w:sz w:val="24"/>
          <w:szCs w:val="24"/>
        </w:rPr>
      </w:pPr>
    </w:p>
    <w:p w14:paraId="743DC8A7" w14:textId="622176F9" w:rsidR="005866B3" w:rsidRPr="00EA00E0" w:rsidRDefault="005866B3" w:rsidP="00EA00E0">
      <w:pPr>
        <w:spacing w:after="0" w:line="240" w:lineRule="auto"/>
        <w:rPr>
          <w:rFonts w:cstheme="minorHAnsi"/>
          <w:b/>
          <w:sz w:val="24"/>
          <w:szCs w:val="24"/>
        </w:rPr>
      </w:pPr>
      <w:r w:rsidRPr="005C0595">
        <w:rPr>
          <w:rFonts w:cstheme="minorHAnsi"/>
          <w:b/>
          <w:sz w:val="24"/>
          <w:szCs w:val="24"/>
        </w:rPr>
        <w:t>Objective</w:t>
      </w:r>
      <w:r w:rsidR="00490B58" w:rsidRPr="005C0595">
        <w:rPr>
          <w:rFonts w:cstheme="minorHAnsi"/>
          <w:b/>
          <w:sz w:val="24"/>
          <w:szCs w:val="24"/>
        </w:rPr>
        <w:t>s</w:t>
      </w:r>
    </w:p>
    <w:p w14:paraId="38DE2153" w14:textId="77777777" w:rsidR="00EA00E0" w:rsidRPr="005C0595" w:rsidRDefault="00EA00E0" w:rsidP="005C0595">
      <w:pPr>
        <w:spacing w:after="0" w:line="240" w:lineRule="auto"/>
        <w:rPr>
          <w:rFonts w:cstheme="minorHAnsi"/>
          <w:b/>
          <w:sz w:val="24"/>
          <w:szCs w:val="24"/>
        </w:rPr>
      </w:pPr>
    </w:p>
    <w:p w14:paraId="25052196" w14:textId="100543E6" w:rsidR="00765480" w:rsidRPr="00EA00E0" w:rsidRDefault="00765480" w:rsidP="00EA00E0">
      <w:pPr>
        <w:spacing w:after="0" w:line="240" w:lineRule="auto"/>
        <w:rPr>
          <w:rFonts w:cstheme="minorHAnsi"/>
          <w:sz w:val="24"/>
          <w:szCs w:val="24"/>
        </w:rPr>
      </w:pPr>
      <w:r w:rsidRPr="005C0595">
        <w:rPr>
          <w:rFonts w:cstheme="minorHAnsi"/>
          <w:sz w:val="24"/>
          <w:szCs w:val="24"/>
        </w:rPr>
        <w:t xml:space="preserve">The GHA will work to ensure that the harms caused by gambling are placed on an equal footing with other major public health challenges, focussing on prevention, early intervention and treatment, and increased community engagement.  </w:t>
      </w:r>
    </w:p>
    <w:p w14:paraId="74DB5406" w14:textId="77777777" w:rsidR="00EA00E0" w:rsidRPr="005C0595" w:rsidRDefault="00EA00E0" w:rsidP="005C0595">
      <w:pPr>
        <w:spacing w:after="0" w:line="240" w:lineRule="auto"/>
        <w:rPr>
          <w:rFonts w:cstheme="minorHAnsi"/>
          <w:sz w:val="24"/>
          <w:szCs w:val="24"/>
        </w:rPr>
      </w:pPr>
    </w:p>
    <w:p w14:paraId="732D38A7" w14:textId="761A7DDB" w:rsidR="00765480" w:rsidRPr="00EA00E0" w:rsidRDefault="005866B3" w:rsidP="00EA00E0">
      <w:pPr>
        <w:spacing w:after="0" w:line="240" w:lineRule="auto"/>
        <w:rPr>
          <w:rFonts w:cstheme="minorHAnsi"/>
          <w:color w:val="000000" w:themeColor="text1"/>
          <w:sz w:val="24"/>
          <w:szCs w:val="24"/>
        </w:rPr>
      </w:pPr>
      <w:r w:rsidRPr="005C0595">
        <w:rPr>
          <w:rFonts w:cstheme="minorHAnsi"/>
          <w:color w:val="000000" w:themeColor="text1"/>
          <w:sz w:val="24"/>
          <w:szCs w:val="24"/>
        </w:rPr>
        <w:t xml:space="preserve">The </w:t>
      </w:r>
      <w:r w:rsidR="00765480" w:rsidRPr="005C0595">
        <w:rPr>
          <w:rFonts w:cstheme="minorHAnsi"/>
          <w:color w:val="000000" w:themeColor="text1"/>
          <w:sz w:val="24"/>
          <w:szCs w:val="24"/>
        </w:rPr>
        <w:t xml:space="preserve">specific </w:t>
      </w:r>
      <w:r w:rsidRPr="005C0595">
        <w:rPr>
          <w:rFonts w:cstheme="minorHAnsi"/>
          <w:color w:val="000000" w:themeColor="text1"/>
          <w:sz w:val="24"/>
          <w:szCs w:val="24"/>
        </w:rPr>
        <w:t>objective</w:t>
      </w:r>
      <w:r w:rsidR="00765480" w:rsidRPr="005C0595">
        <w:rPr>
          <w:rFonts w:cstheme="minorHAnsi"/>
          <w:color w:val="000000" w:themeColor="text1"/>
          <w:sz w:val="24"/>
          <w:szCs w:val="24"/>
        </w:rPr>
        <w:t>s</w:t>
      </w:r>
      <w:r w:rsidRPr="005C0595">
        <w:rPr>
          <w:rFonts w:cstheme="minorHAnsi"/>
          <w:color w:val="000000" w:themeColor="text1"/>
          <w:sz w:val="24"/>
          <w:szCs w:val="24"/>
        </w:rPr>
        <w:t xml:space="preserve"> of this Alliance</w:t>
      </w:r>
      <w:r w:rsidR="00765480" w:rsidRPr="005C0595">
        <w:rPr>
          <w:rFonts w:cstheme="minorHAnsi"/>
          <w:color w:val="000000" w:themeColor="text1"/>
          <w:sz w:val="24"/>
          <w:szCs w:val="24"/>
        </w:rPr>
        <w:t xml:space="preserve"> are to:</w:t>
      </w:r>
    </w:p>
    <w:p w14:paraId="715B1F09" w14:textId="77777777" w:rsidR="00EA00E0" w:rsidRPr="005C0595" w:rsidRDefault="00EA00E0" w:rsidP="005C0595">
      <w:pPr>
        <w:spacing w:after="0" w:line="240" w:lineRule="auto"/>
        <w:rPr>
          <w:rFonts w:cstheme="minorHAnsi"/>
          <w:color w:val="000000" w:themeColor="text1"/>
          <w:sz w:val="24"/>
          <w:szCs w:val="24"/>
        </w:rPr>
      </w:pPr>
    </w:p>
    <w:p w14:paraId="3C9296D6" w14:textId="6B153A8E" w:rsidR="00765480" w:rsidRDefault="00765480" w:rsidP="00EA00E0">
      <w:pPr>
        <w:pStyle w:val="ListParagraph"/>
        <w:numPr>
          <w:ilvl w:val="0"/>
          <w:numId w:val="4"/>
        </w:numPr>
        <w:spacing w:after="0" w:line="240" w:lineRule="auto"/>
        <w:rPr>
          <w:rFonts w:asciiTheme="minorHAnsi" w:hAnsiTheme="minorHAnsi" w:cstheme="minorHAnsi"/>
          <w:color w:val="000000" w:themeColor="text1"/>
          <w:sz w:val="24"/>
          <w:szCs w:val="24"/>
        </w:rPr>
      </w:pPr>
      <w:r w:rsidRPr="005C0595">
        <w:rPr>
          <w:rFonts w:asciiTheme="minorHAnsi" w:hAnsiTheme="minorHAnsi" w:cstheme="minorHAnsi"/>
          <w:color w:val="000000" w:themeColor="text1"/>
          <w:sz w:val="24"/>
          <w:szCs w:val="24"/>
        </w:rPr>
        <w:t>B</w:t>
      </w:r>
      <w:r w:rsidR="005866B3" w:rsidRPr="005C0595">
        <w:rPr>
          <w:rFonts w:asciiTheme="minorHAnsi" w:hAnsiTheme="minorHAnsi" w:cstheme="minorHAnsi"/>
          <w:color w:val="000000" w:themeColor="text1"/>
          <w:sz w:val="24"/>
          <w:szCs w:val="24"/>
        </w:rPr>
        <w:t xml:space="preserve">ring together </w:t>
      </w:r>
      <w:r w:rsidRPr="005C0595">
        <w:rPr>
          <w:rFonts w:asciiTheme="minorHAnsi" w:hAnsiTheme="minorHAnsi" w:cstheme="minorHAnsi"/>
          <w:color w:val="000000" w:themeColor="text1"/>
          <w:sz w:val="24"/>
          <w:szCs w:val="24"/>
        </w:rPr>
        <w:t xml:space="preserve">the widest possible range of </w:t>
      </w:r>
      <w:proofErr w:type="spellStart"/>
      <w:r w:rsidR="005866B3" w:rsidRPr="005C0595">
        <w:rPr>
          <w:rFonts w:asciiTheme="minorHAnsi" w:hAnsiTheme="minorHAnsi" w:cstheme="minorHAnsi"/>
          <w:color w:val="000000" w:themeColor="text1"/>
          <w:sz w:val="24"/>
          <w:szCs w:val="24"/>
        </w:rPr>
        <w:t>organisations</w:t>
      </w:r>
      <w:proofErr w:type="spellEnd"/>
      <w:r w:rsidR="005866B3" w:rsidRPr="005C0595">
        <w:rPr>
          <w:rFonts w:asciiTheme="minorHAnsi" w:hAnsiTheme="minorHAnsi" w:cstheme="minorHAnsi"/>
          <w:color w:val="000000" w:themeColor="text1"/>
          <w:sz w:val="24"/>
          <w:szCs w:val="24"/>
        </w:rPr>
        <w:t xml:space="preserve"> and individuals</w:t>
      </w:r>
      <w:r w:rsidR="002A389F" w:rsidRPr="005C0595">
        <w:rPr>
          <w:rFonts w:asciiTheme="minorHAnsi" w:hAnsiTheme="minorHAnsi" w:cstheme="minorHAnsi"/>
          <w:color w:val="000000" w:themeColor="text1"/>
          <w:sz w:val="24"/>
          <w:szCs w:val="24"/>
        </w:rPr>
        <w:t xml:space="preserve"> with an interest in policy</w:t>
      </w:r>
      <w:r w:rsidR="005866B3" w:rsidRPr="005C0595">
        <w:rPr>
          <w:rFonts w:asciiTheme="minorHAnsi" w:hAnsiTheme="minorHAnsi" w:cstheme="minorHAnsi"/>
          <w:color w:val="000000" w:themeColor="text1"/>
          <w:sz w:val="24"/>
          <w:szCs w:val="24"/>
        </w:rPr>
        <w:t xml:space="preserve"> who have a shared interest in reducing the damage caused to health and wellbeing from gambling.  </w:t>
      </w:r>
    </w:p>
    <w:p w14:paraId="53989EF1" w14:textId="77777777" w:rsidR="00344876" w:rsidRPr="005C0595" w:rsidRDefault="00344876" w:rsidP="005C0595">
      <w:pPr>
        <w:pStyle w:val="ListParagraph"/>
        <w:spacing w:after="0" w:line="240" w:lineRule="auto"/>
        <w:ind w:left="360"/>
        <w:rPr>
          <w:rFonts w:cstheme="minorHAnsi"/>
          <w:color w:val="000000" w:themeColor="text1"/>
          <w:sz w:val="24"/>
          <w:szCs w:val="24"/>
        </w:rPr>
      </w:pPr>
    </w:p>
    <w:p w14:paraId="08E2289C" w14:textId="12EA6907" w:rsidR="00765480" w:rsidRPr="005C0595" w:rsidRDefault="00765480" w:rsidP="00EA00E0">
      <w:pPr>
        <w:pStyle w:val="ListParagraph"/>
        <w:numPr>
          <w:ilvl w:val="0"/>
          <w:numId w:val="4"/>
        </w:numPr>
        <w:spacing w:after="0" w:line="240" w:lineRule="auto"/>
        <w:rPr>
          <w:rFonts w:asciiTheme="minorHAnsi" w:hAnsiTheme="minorHAnsi" w:cstheme="minorHAnsi"/>
          <w:color w:val="000000" w:themeColor="text1"/>
          <w:sz w:val="24"/>
          <w:szCs w:val="24"/>
        </w:rPr>
      </w:pPr>
      <w:r w:rsidRPr="005C0595">
        <w:rPr>
          <w:rFonts w:asciiTheme="minorHAnsi" w:hAnsiTheme="minorHAnsi" w:cstheme="minorHAnsi"/>
          <w:color w:val="auto"/>
          <w:sz w:val="24"/>
          <w:szCs w:val="24"/>
          <w:lang w:val="en-GB"/>
        </w:rPr>
        <w:t>Highlight the harms caused by gambling and the</w:t>
      </w:r>
      <w:r w:rsidR="00490B58" w:rsidRPr="005C0595">
        <w:rPr>
          <w:rFonts w:asciiTheme="minorHAnsi" w:hAnsiTheme="minorHAnsi" w:cstheme="minorHAnsi"/>
          <w:color w:val="auto"/>
          <w:sz w:val="24"/>
          <w:szCs w:val="24"/>
          <w:lang w:val="en-GB"/>
        </w:rPr>
        <w:t xml:space="preserve"> </w:t>
      </w:r>
      <w:r w:rsidRPr="005C0595">
        <w:rPr>
          <w:rFonts w:asciiTheme="minorHAnsi" w:hAnsiTheme="minorHAnsi" w:cstheme="minorHAnsi"/>
          <w:color w:val="000000" w:themeColor="text1"/>
          <w:sz w:val="24"/>
          <w:szCs w:val="24"/>
          <w:shd w:val="clear" w:color="auto" w:fill="FFFFFF"/>
        </w:rPr>
        <w:t xml:space="preserve">social, economic and cultural factors that contribute to gambling harm and </w:t>
      </w:r>
      <w:r w:rsidR="00490B58" w:rsidRPr="005C0595">
        <w:rPr>
          <w:rFonts w:asciiTheme="minorHAnsi" w:hAnsiTheme="minorHAnsi" w:cstheme="minorHAnsi"/>
          <w:color w:val="000000" w:themeColor="text1"/>
          <w:sz w:val="24"/>
          <w:szCs w:val="24"/>
          <w:shd w:val="clear" w:color="auto" w:fill="FFFFFF"/>
        </w:rPr>
        <w:t>health</w:t>
      </w:r>
      <w:r w:rsidRPr="005C0595">
        <w:rPr>
          <w:rFonts w:asciiTheme="minorHAnsi" w:hAnsiTheme="minorHAnsi" w:cstheme="minorHAnsi"/>
          <w:color w:val="000000" w:themeColor="text1"/>
          <w:sz w:val="24"/>
          <w:szCs w:val="24"/>
          <w:shd w:val="clear" w:color="auto" w:fill="FFFFFF"/>
        </w:rPr>
        <w:t xml:space="preserve"> inequalities.</w:t>
      </w:r>
    </w:p>
    <w:p w14:paraId="714BDF88" w14:textId="77777777" w:rsidR="00344876" w:rsidRPr="005C0595" w:rsidRDefault="00344876" w:rsidP="005C0595">
      <w:pPr>
        <w:pStyle w:val="ListParagraph"/>
        <w:spacing w:after="0" w:line="240" w:lineRule="auto"/>
        <w:ind w:left="360"/>
        <w:rPr>
          <w:rFonts w:cstheme="minorHAnsi"/>
          <w:color w:val="000000" w:themeColor="text1"/>
          <w:sz w:val="24"/>
          <w:szCs w:val="24"/>
        </w:rPr>
      </w:pPr>
    </w:p>
    <w:p w14:paraId="1C500908" w14:textId="04187102" w:rsidR="005866B3" w:rsidRDefault="005866B3" w:rsidP="00EA00E0">
      <w:pPr>
        <w:pStyle w:val="ListParagraph"/>
        <w:numPr>
          <w:ilvl w:val="0"/>
          <w:numId w:val="4"/>
        </w:numPr>
        <w:spacing w:after="0" w:line="240" w:lineRule="auto"/>
        <w:rPr>
          <w:rFonts w:asciiTheme="minorHAnsi" w:hAnsiTheme="minorHAnsi" w:cstheme="minorHAnsi"/>
          <w:sz w:val="24"/>
          <w:szCs w:val="24"/>
        </w:rPr>
      </w:pPr>
      <w:r w:rsidRPr="005C0595">
        <w:rPr>
          <w:rFonts w:asciiTheme="minorHAnsi" w:hAnsiTheme="minorHAnsi" w:cstheme="minorHAnsi"/>
          <w:sz w:val="24"/>
          <w:szCs w:val="24"/>
        </w:rPr>
        <w:t xml:space="preserve">Engage and </w:t>
      </w:r>
      <w:r w:rsidR="00CC3C9A" w:rsidRPr="005C0595">
        <w:rPr>
          <w:rFonts w:asciiTheme="minorHAnsi" w:hAnsiTheme="minorHAnsi" w:cstheme="minorHAnsi"/>
          <w:sz w:val="24"/>
          <w:szCs w:val="24"/>
        </w:rPr>
        <w:t xml:space="preserve">inform </w:t>
      </w:r>
      <w:r w:rsidRPr="005C0595">
        <w:rPr>
          <w:rFonts w:asciiTheme="minorHAnsi" w:hAnsiTheme="minorHAnsi" w:cstheme="minorHAnsi"/>
          <w:sz w:val="24"/>
          <w:szCs w:val="24"/>
        </w:rPr>
        <w:t xml:space="preserve">policy makers, Government, NGOs and public health community in order to encourage </w:t>
      </w:r>
      <w:r w:rsidR="00CC3C9A" w:rsidRPr="005C0595">
        <w:rPr>
          <w:rFonts w:asciiTheme="minorHAnsi" w:hAnsiTheme="minorHAnsi" w:cstheme="minorHAnsi"/>
          <w:sz w:val="24"/>
          <w:szCs w:val="24"/>
        </w:rPr>
        <w:t>a coherent</w:t>
      </w:r>
      <w:r w:rsidR="00765480" w:rsidRPr="005C0595">
        <w:rPr>
          <w:rFonts w:asciiTheme="minorHAnsi" w:hAnsiTheme="minorHAnsi" w:cstheme="minorHAnsi"/>
          <w:sz w:val="24"/>
          <w:szCs w:val="24"/>
        </w:rPr>
        <w:t xml:space="preserve">, </w:t>
      </w:r>
      <w:r w:rsidR="009B3079" w:rsidRPr="005C0595">
        <w:rPr>
          <w:rFonts w:asciiTheme="minorHAnsi" w:hAnsiTheme="minorHAnsi" w:cstheme="minorHAnsi"/>
          <w:sz w:val="24"/>
          <w:szCs w:val="24"/>
        </w:rPr>
        <w:t>coordinated</w:t>
      </w:r>
      <w:r w:rsidR="00CC3C9A" w:rsidRPr="005C0595">
        <w:rPr>
          <w:rFonts w:asciiTheme="minorHAnsi" w:hAnsiTheme="minorHAnsi" w:cstheme="minorHAnsi"/>
          <w:sz w:val="24"/>
          <w:szCs w:val="24"/>
        </w:rPr>
        <w:t xml:space="preserve"> </w:t>
      </w:r>
      <w:r w:rsidR="00765480" w:rsidRPr="005C0595">
        <w:rPr>
          <w:rFonts w:asciiTheme="minorHAnsi" w:hAnsiTheme="minorHAnsi" w:cstheme="minorHAnsi"/>
          <w:sz w:val="24"/>
          <w:szCs w:val="24"/>
        </w:rPr>
        <w:t xml:space="preserve">and effective </w:t>
      </w:r>
      <w:r w:rsidR="00CC3C9A" w:rsidRPr="005C0595">
        <w:rPr>
          <w:rFonts w:asciiTheme="minorHAnsi" w:hAnsiTheme="minorHAnsi" w:cstheme="minorHAnsi"/>
          <w:sz w:val="24"/>
          <w:szCs w:val="24"/>
        </w:rPr>
        <w:t xml:space="preserve">response </w:t>
      </w:r>
      <w:r w:rsidR="00765480" w:rsidRPr="005C0595">
        <w:rPr>
          <w:rFonts w:asciiTheme="minorHAnsi" w:hAnsiTheme="minorHAnsi" w:cstheme="minorHAnsi"/>
          <w:sz w:val="24"/>
          <w:szCs w:val="24"/>
        </w:rPr>
        <w:t>that reduces</w:t>
      </w:r>
      <w:r w:rsidR="00CC3C9A" w:rsidRPr="005C0595">
        <w:rPr>
          <w:rFonts w:asciiTheme="minorHAnsi" w:hAnsiTheme="minorHAnsi" w:cstheme="minorHAnsi"/>
          <w:sz w:val="24"/>
          <w:szCs w:val="24"/>
        </w:rPr>
        <w:t xml:space="preserve"> gambling harms</w:t>
      </w:r>
      <w:r w:rsidR="00490B58" w:rsidRPr="005C0595">
        <w:rPr>
          <w:rFonts w:asciiTheme="minorHAnsi" w:hAnsiTheme="minorHAnsi" w:cstheme="minorHAnsi"/>
          <w:sz w:val="24"/>
          <w:szCs w:val="24"/>
        </w:rPr>
        <w:t>.</w:t>
      </w:r>
    </w:p>
    <w:p w14:paraId="0D8704A7" w14:textId="77777777" w:rsidR="00344876" w:rsidRPr="005C0595" w:rsidRDefault="00344876" w:rsidP="005C0595">
      <w:pPr>
        <w:pStyle w:val="ListParagraph"/>
        <w:spacing w:after="0" w:line="240" w:lineRule="auto"/>
        <w:ind w:left="360"/>
        <w:rPr>
          <w:rFonts w:asciiTheme="minorHAnsi" w:hAnsiTheme="minorHAnsi" w:cstheme="minorHAnsi"/>
          <w:sz w:val="24"/>
          <w:szCs w:val="24"/>
        </w:rPr>
      </w:pPr>
    </w:p>
    <w:p w14:paraId="45772936" w14:textId="6C33014F" w:rsidR="005866B3" w:rsidRPr="005C0595" w:rsidRDefault="005866B3" w:rsidP="005C0595">
      <w:pPr>
        <w:pStyle w:val="ListParagraph"/>
        <w:numPr>
          <w:ilvl w:val="0"/>
          <w:numId w:val="4"/>
        </w:numPr>
        <w:spacing w:after="0" w:line="240" w:lineRule="auto"/>
        <w:rPr>
          <w:rFonts w:asciiTheme="minorHAnsi" w:hAnsiTheme="minorHAnsi" w:cstheme="minorHAnsi"/>
          <w:sz w:val="24"/>
          <w:szCs w:val="24"/>
          <w:lang w:val="en-GB"/>
        </w:rPr>
      </w:pPr>
      <w:r w:rsidRPr="005C0595">
        <w:rPr>
          <w:rFonts w:asciiTheme="minorHAnsi" w:hAnsiTheme="minorHAnsi" w:cstheme="minorHAnsi"/>
          <w:sz w:val="24"/>
          <w:szCs w:val="24"/>
        </w:rPr>
        <w:t>Promote</w:t>
      </w:r>
      <w:r w:rsidR="00490B58" w:rsidRPr="005C0595">
        <w:rPr>
          <w:rFonts w:asciiTheme="minorHAnsi" w:hAnsiTheme="minorHAnsi" w:cstheme="minorHAnsi"/>
          <w:sz w:val="24"/>
          <w:szCs w:val="24"/>
        </w:rPr>
        <w:t xml:space="preserve"> </w:t>
      </w:r>
      <w:r w:rsidRPr="005C0595">
        <w:rPr>
          <w:rFonts w:asciiTheme="minorHAnsi" w:hAnsiTheme="minorHAnsi" w:cstheme="minorHAnsi"/>
          <w:sz w:val="24"/>
          <w:szCs w:val="24"/>
        </w:rPr>
        <w:t>evidence</w:t>
      </w:r>
      <w:r w:rsidR="00490B58" w:rsidRPr="005C0595">
        <w:rPr>
          <w:rFonts w:asciiTheme="minorHAnsi" w:hAnsiTheme="minorHAnsi" w:cstheme="minorHAnsi"/>
          <w:sz w:val="24"/>
          <w:szCs w:val="24"/>
        </w:rPr>
        <w:t xml:space="preserve"> and undertake research that can </w:t>
      </w:r>
      <w:r w:rsidRPr="005C0595">
        <w:rPr>
          <w:rFonts w:asciiTheme="minorHAnsi" w:hAnsiTheme="minorHAnsi" w:cstheme="minorHAnsi"/>
          <w:sz w:val="24"/>
          <w:szCs w:val="24"/>
        </w:rPr>
        <w:t>be translated into practical steps</w:t>
      </w:r>
      <w:r w:rsidR="00490B58" w:rsidRPr="005C0595">
        <w:rPr>
          <w:rFonts w:asciiTheme="minorHAnsi" w:hAnsiTheme="minorHAnsi" w:cstheme="minorHAnsi"/>
          <w:sz w:val="24"/>
          <w:szCs w:val="24"/>
        </w:rPr>
        <w:t>.</w:t>
      </w:r>
      <w:r w:rsidRPr="005C0595">
        <w:rPr>
          <w:rFonts w:asciiTheme="minorHAnsi" w:hAnsiTheme="minorHAnsi" w:cstheme="minorHAnsi"/>
          <w:sz w:val="24"/>
          <w:szCs w:val="24"/>
        </w:rPr>
        <w:t xml:space="preserve"> </w:t>
      </w:r>
    </w:p>
    <w:p w14:paraId="1B6B400E" w14:textId="7C851F71" w:rsidR="00F746EA" w:rsidRDefault="00F746EA" w:rsidP="00EA00E0">
      <w:pPr>
        <w:pStyle w:val="ListParagraph"/>
        <w:spacing w:after="0" w:line="240" w:lineRule="auto"/>
        <w:ind w:left="360"/>
        <w:rPr>
          <w:rFonts w:asciiTheme="minorHAnsi" w:hAnsiTheme="minorHAnsi" w:cstheme="minorHAnsi"/>
          <w:b/>
          <w:bCs/>
          <w:color w:val="auto"/>
          <w:sz w:val="24"/>
          <w:szCs w:val="24"/>
          <w:lang w:val="en-GB"/>
        </w:rPr>
      </w:pPr>
    </w:p>
    <w:p w14:paraId="2E22EF29" w14:textId="77777777" w:rsidR="00117236" w:rsidRDefault="00117236" w:rsidP="00EA00E0">
      <w:pPr>
        <w:spacing w:after="0" w:line="240" w:lineRule="auto"/>
        <w:rPr>
          <w:rFonts w:cstheme="minorHAnsi"/>
          <w:b/>
          <w:bCs/>
          <w:sz w:val="24"/>
          <w:szCs w:val="24"/>
        </w:rPr>
      </w:pPr>
    </w:p>
    <w:p w14:paraId="15C100B3" w14:textId="77777777" w:rsidR="00117236" w:rsidRDefault="00117236" w:rsidP="00EA00E0">
      <w:pPr>
        <w:spacing w:after="0" w:line="240" w:lineRule="auto"/>
        <w:rPr>
          <w:rFonts w:cstheme="minorHAnsi"/>
          <w:b/>
          <w:bCs/>
          <w:sz w:val="24"/>
          <w:szCs w:val="24"/>
        </w:rPr>
      </w:pPr>
    </w:p>
    <w:p w14:paraId="681C9235" w14:textId="77777777" w:rsidR="00117236" w:rsidRDefault="00117236" w:rsidP="00EA00E0">
      <w:pPr>
        <w:spacing w:after="0" w:line="240" w:lineRule="auto"/>
        <w:rPr>
          <w:rFonts w:cstheme="minorHAnsi"/>
          <w:b/>
          <w:bCs/>
          <w:sz w:val="24"/>
          <w:szCs w:val="24"/>
        </w:rPr>
      </w:pPr>
    </w:p>
    <w:p w14:paraId="4C4947C5" w14:textId="77777777" w:rsidR="00117236" w:rsidRDefault="00117236" w:rsidP="00EA00E0">
      <w:pPr>
        <w:spacing w:after="0" w:line="240" w:lineRule="auto"/>
        <w:rPr>
          <w:rFonts w:cstheme="minorHAnsi"/>
          <w:b/>
          <w:bCs/>
          <w:sz w:val="24"/>
          <w:szCs w:val="24"/>
        </w:rPr>
      </w:pPr>
    </w:p>
    <w:p w14:paraId="3B71EABF" w14:textId="77777777" w:rsidR="00117236" w:rsidRDefault="00117236" w:rsidP="00EA00E0">
      <w:pPr>
        <w:spacing w:after="0" w:line="240" w:lineRule="auto"/>
        <w:rPr>
          <w:rFonts w:cstheme="minorHAnsi"/>
          <w:b/>
          <w:bCs/>
          <w:sz w:val="24"/>
          <w:szCs w:val="24"/>
        </w:rPr>
      </w:pPr>
    </w:p>
    <w:p w14:paraId="33FEC93A" w14:textId="325329A8" w:rsidR="003905DC" w:rsidRPr="005C0595" w:rsidRDefault="003905DC" w:rsidP="00EA00E0">
      <w:pPr>
        <w:spacing w:after="0" w:line="240" w:lineRule="auto"/>
        <w:rPr>
          <w:rFonts w:cstheme="minorHAnsi"/>
          <w:b/>
          <w:bCs/>
          <w:color w:val="000000"/>
          <w:sz w:val="24"/>
          <w:szCs w:val="24"/>
          <w:lang w:val="en-US"/>
        </w:rPr>
      </w:pPr>
      <w:proofErr w:type="spellStart"/>
      <w:r w:rsidRPr="005C0595">
        <w:rPr>
          <w:rFonts w:cstheme="minorHAnsi"/>
          <w:b/>
          <w:bCs/>
          <w:color w:val="000000"/>
          <w:sz w:val="24"/>
          <w:szCs w:val="24"/>
          <w:lang w:val="en-US"/>
        </w:rPr>
        <w:lastRenderedPageBreak/>
        <w:t>Organisation</w:t>
      </w:r>
      <w:proofErr w:type="spellEnd"/>
    </w:p>
    <w:p w14:paraId="33D2966A" w14:textId="77777777" w:rsidR="00EA00E0" w:rsidRPr="005C0595" w:rsidRDefault="00EA00E0" w:rsidP="005C0595">
      <w:pPr>
        <w:spacing w:after="0" w:line="240" w:lineRule="auto"/>
        <w:rPr>
          <w:rFonts w:cstheme="minorHAnsi"/>
          <w:b/>
          <w:bCs/>
          <w:color w:val="000000"/>
          <w:sz w:val="24"/>
          <w:szCs w:val="24"/>
          <w:lang w:val="en-US"/>
        </w:rPr>
      </w:pPr>
    </w:p>
    <w:p w14:paraId="23589957" w14:textId="30E141EA" w:rsidR="003905DC" w:rsidRPr="00EA00E0" w:rsidRDefault="003905DC" w:rsidP="00EA00E0">
      <w:pPr>
        <w:spacing w:after="0" w:line="240" w:lineRule="auto"/>
        <w:rPr>
          <w:rFonts w:cstheme="minorHAnsi"/>
          <w:sz w:val="24"/>
          <w:szCs w:val="24"/>
        </w:rPr>
      </w:pPr>
      <w:r w:rsidRPr="005C0595">
        <w:rPr>
          <w:rFonts w:cstheme="minorHAnsi"/>
          <w:color w:val="000000"/>
          <w:sz w:val="24"/>
          <w:szCs w:val="24"/>
          <w:lang w:val="en-US"/>
        </w:rPr>
        <w:t xml:space="preserve">The GHA is formally part of RSPH. RSPH is ultimately responsible for its management and outputs. </w:t>
      </w:r>
      <w:r w:rsidRPr="005C0595">
        <w:rPr>
          <w:rFonts w:cstheme="minorHAnsi"/>
          <w:sz w:val="24"/>
          <w:szCs w:val="24"/>
        </w:rPr>
        <w:t xml:space="preserve">RSPH also acts as the GHA secretariat. The Chair of GHA will be appointed by RSPH in consultation with GHA members. </w:t>
      </w:r>
    </w:p>
    <w:p w14:paraId="4CAA8CF1" w14:textId="77777777" w:rsidR="00EA00E0" w:rsidRPr="005C0595" w:rsidRDefault="00EA00E0" w:rsidP="005C0595">
      <w:pPr>
        <w:spacing w:after="0" w:line="240" w:lineRule="auto"/>
        <w:rPr>
          <w:rFonts w:cstheme="minorHAnsi"/>
          <w:sz w:val="24"/>
          <w:szCs w:val="24"/>
        </w:rPr>
      </w:pPr>
    </w:p>
    <w:p w14:paraId="04A2C0DA" w14:textId="45EDD8B6" w:rsidR="003905DC" w:rsidRPr="00EA00E0" w:rsidRDefault="003905DC" w:rsidP="00EA00E0">
      <w:pPr>
        <w:spacing w:after="0" w:line="240" w:lineRule="auto"/>
        <w:rPr>
          <w:rFonts w:cstheme="minorHAnsi"/>
          <w:sz w:val="24"/>
          <w:szCs w:val="24"/>
        </w:rPr>
      </w:pPr>
      <w:r w:rsidRPr="005C0595">
        <w:rPr>
          <w:rFonts w:cstheme="minorHAnsi"/>
          <w:sz w:val="24"/>
          <w:szCs w:val="24"/>
        </w:rPr>
        <w:t>It is RSPH’s aim that, as far as is practicable, GHA acts as a freestanding entity in respect of its decision-making.</w:t>
      </w:r>
    </w:p>
    <w:p w14:paraId="509F8BD1" w14:textId="77777777" w:rsidR="00EA00E0" w:rsidRPr="005C0595" w:rsidRDefault="00EA00E0" w:rsidP="005C0595">
      <w:pPr>
        <w:spacing w:after="0" w:line="240" w:lineRule="auto"/>
        <w:rPr>
          <w:rFonts w:cstheme="minorHAnsi"/>
          <w:color w:val="000000"/>
          <w:sz w:val="24"/>
          <w:szCs w:val="24"/>
          <w:lang w:val="en-US"/>
        </w:rPr>
      </w:pPr>
    </w:p>
    <w:p w14:paraId="6E950C1C" w14:textId="4D5DBA8C" w:rsidR="003E7C8B" w:rsidRPr="00EA00E0" w:rsidRDefault="00F746EA" w:rsidP="00EA00E0">
      <w:pPr>
        <w:spacing w:after="0" w:line="240" w:lineRule="auto"/>
        <w:rPr>
          <w:rFonts w:cstheme="minorHAnsi"/>
          <w:sz w:val="24"/>
          <w:szCs w:val="24"/>
        </w:rPr>
      </w:pPr>
      <w:r>
        <w:rPr>
          <w:rFonts w:cstheme="minorHAnsi"/>
          <w:sz w:val="24"/>
          <w:szCs w:val="24"/>
        </w:rPr>
        <w:t>The GHA’s work will be directed by a</w:t>
      </w:r>
      <w:r w:rsidR="003E7C8B" w:rsidRPr="005C0595">
        <w:rPr>
          <w:rFonts w:cstheme="minorHAnsi"/>
          <w:sz w:val="24"/>
          <w:szCs w:val="24"/>
        </w:rPr>
        <w:t xml:space="preserve"> Steering Group. Members are able to nominate themselves to join the Steering Group. To ensure that the Group properly reflects the membership and other relevant issues, RSPH may</w:t>
      </w:r>
      <w:r>
        <w:rPr>
          <w:rFonts w:cstheme="minorHAnsi"/>
          <w:sz w:val="24"/>
          <w:szCs w:val="24"/>
        </w:rPr>
        <w:t xml:space="preserve"> also</w:t>
      </w:r>
      <w:r w:rsidR="003E7C8B" w:rsidRPr="005C0595">
        <w:rPr>
          <w:rFonts w:cstheme="minorHAnsi"/>
          <w:sz w:val="24"/>
          <w:szCs w:val="24"/>
        </w:rPr>
        <w:t xml:space="preserve"> invite other organisations or individuals to join. The Steering Group</w:t>
      </w:r>
      <w:r w:rsidR="00D70454" w:rsidRPr="005C0595">
        <w:rPr>
          <w:rFonts w:cstheme="minorHAnsi"/>
          <w:sz w:val="24"/>
          <w:szCs w:val="24"/>
        </w:rPr>
        <w:t>, which</w:t>
      </w:r>
      <w:r w:rsidR="003E7C8B" w:rsidRPr="005C0595">
        <w:rPr>
          <w:rFonts w:cstheme="minorHAnsi"/>
          <w:sz w:val="24"/>
          <w:szCs w:val="24"/>
        </w:rPr>
        <w:t xml:space="preserve"> will have between 5 and 10 members</w:t>
      </w:r>
      <w:r w:rsidR="00D70454" w:rsidRPr="005C0595">
        <w:rPr>
          <w:rFonts w:cstheme="minorHAnsi"/>
          <w:sz w:val="24"/>
          <w:szCs w:val="24"/>
        </w:rPr>
        <w:t>, will meet face-to-face or remotely</w:t>
      </w:r>
      <w:r w:rsidR="005269A1">
        <w:rPr>
          <w:rFonts w:cstheme="minorHAnsi"/>
          <w:sz w:val="24"/>
          <w:szCs w:val="24"/>
        </w:rPr>
        <w:t xml:space="preserve"> at least twice a year </w:t>
      </w:r>
      <w:r w:rsidR="00D70454" w:rsidRPr="005C0595">
        <w:rPr>
          <w:rFonts w:cstheme="minorHAnsi"/>
          <w:sz w:val="24"/>
          <w:szCs w:val="24"/>
        </w:rPr>
        <w:t>and be responsible for ensuring the implementation of the GHA’s strategy.</w:t>
      </w:r>
    </w:p>
    <w:p w14:paraId="568EBAF3" w14:textId="77777777" w:rsidR="00EA00E0" w:rsidRPr="005C0595" w:rsidRDefault="00EA00E0" w:rsidP="005C0595">
      <w:pPr>
        <w:spacing w:after="0" w:line="240" w:lineRule="auto"/>
        <w:rPr>
          <w:rFonts w:cstheme="minorHAnsi"/>
          <w:sz w:val="24"/>
          <w:szCs w:val="24"/>
        </w:rPr>
      </w:pPr>
    </w:p>
    <w:p w14:paraId="681AA6F0" w14:textId="3C907BB5" w:rsidR="00EA00E0" w:rsidRPr="005C0595" w:rsidRDefault="003E7C8B" w:rsidP="005C0595">
      <w:pPr>
        <w:spacing w:after="0" w:line="240" w:lineRule="auto"/>
        <w:rPr>
          <w:rFonts w:cstheme="minorHAnsi"/>
          <w:sz w:val="24"/>
          <w:szCs w:val="24"/>
        </w:rPr>
      </w:pPr>
      <w:r w:rsidRPr="005C0595">
        <w:rPr>
          <w:rFonts w:cstheme="minorHAnsi"/>
          <w:sz w:val="24"/>
          <w:szCs w:val="24"/>
        </w:rPr>
        <w:t xml:space="preserve">The GHA will also establish working groups on a case-by-case basis to support the development of its programme of work. Working groups will be made up of specialist representatives from member organisations and will </w:t>
      </w:r>
      <w:r w:rsidR="00F746EA">
        <w:rPr>
          <w:rFonts w:cstheme="minorHAnsi"/>
          <w:sz w:val="24"/>
          <w:szCs w:val="24"/>
        </w:rPr>
        <w:t xml:space="preserve">support the </w:t>
      </w:r>
      <w:r w:rsidRPr="005C0595">
        <w:rPr>
          <w:rFonts w:cstheme="minorHAnsi"/>
          <w:sz w:val="24"/>
          <w:szCs w:val="24"/>
        </w:rPr>
        <w:t>deliver</w:t>
      </w:r>
      <w:r w:rsidR="00F746EA">
        <w:rPr>
          <w:rFonts w:cstheme="minorHAnsi"/>
          <w:sz w:val="24"/>
          <w:szCs w:val="24"/>
        </w:rPr>
        <w:t>y of</w:t>
      </w:r>
      <w:r w:rsidRPr="005C0595">
        <w:rPr>
          <w:rFonts w:cstheme="minorHAnsi"/>
          <w:sz w:val="24"/>
          <w:szCs w:val="24"/>
        </w:rPr>
        <w:t xml:space="preserve"> tactical activity on behalf of the </w:t>
      </w:r>
      <w:r w:rsidR="00D70454" w:rsidRPr="005C0595">
        <w:rPr>
          <w:rFonts w:cstheme="minorHAnsi"/>
          <w:sz w:val="24"/>
          <w:szCs w:val="24"/>
        </w:rPr>
        <w:t>A</w:t>
      </w:r>
      <w:r w:rsidRPr="005C0595">
        <w:rPr>
          <w:rFonts w:cstheme="minorHAnsi"/>
          <w:sz w:val="24"/>
          <w:szCs w:val="24"/>
        </w:rPr>
        <w:t>lliance. Sub-groups are open to all member organisations.</w:t>
      </w:r>
    </w:p>
    <w:p w14:paraId="68A2B081" w14:textId="445A2406" w:rsidR="00D70454" w:rsidRPr="005C0595" w:rsidRDefault="00D70454" w:rsidP="005C0595">
      <w:pPr>
        <w:spacing w:after="0" w:line="240" w:lineRule="auto"/>
        <w:rPr>
          <w:rFonts w:cstheme="minorHAnsi"/>
          <w:sz w:val="24"/>
          <w:szCs w:val="24"/>
        </w:rPr>
      </w:pPr>
    </w:p>
    <w:p w14:paraId="15B0044A" w14:textId="129C79DA" w:rsidR="003905DC" w:rsidRPr="005C0595" w:rsidRDefault="00D70454" w:rsidP="005C0595">
      <w:pPr>
        <w:spacing w:after="0" w:line="240" w:lineRule="auto"/>
        <w:rPr>
          <w:rFonts w:cstheme="minorHAnsi"/>
          <w:sz w:val="24"/>
          <w:szCs w:val="24"/>
        </w:rPr>
      </w:pPr>
      <w:r w:rsidRPr="005C0595">
        <w:rPr>
          <w:rFonts w:cstheme="minorHAnsi"/>
          <w:sz w:val="24"/>
          <w:szCs w:val="24"/>
        </w:rPr>
        <w:t>All GHA members will be invited to attend all-member meetings which will be held at least twice a year. These meetings will be responsible for determining the overall strategy of the Alliance</w:t>
      </w:r>
      <w:r w:rsidR="00F746EA">
        <w:rPr>
          <w:rFonts w:cstheme="minorHAnsi"/>
          <w:sz w:val="24"/>
          <w:szCs w:val="24"/>
        </w:rPr>
        <w:t xml:space="preserve"> with decisions as far as possible made on a consensual basis.</w:t>
      </w:r>
    </w:p>
    <w:p w14:paraId="737B8DFC" w14:textId="6E80D1F5" w:rsidR="00D70454" w:rsidRPr="00EA00E0" w:rsidRDefault="00D70454" w:rsidP="00EA00E0">
      <w:pPr>
        <w:spacing w:after="0" w:line="240" w:lineRule="auto"/>
        <w:rPr>
          <w:rFonts w:cstheme="minorHAnsi"/>
          <w:sz w:val="24"/>
          <w:szCs w:val="24"/>
        </w:rPr>
      </w:pPr>
    </w:p>
    <w:p w14:paraId="5F03A242" w14:textId="77777777" w:rsidR="00EA00E0" w:rsidRPr="005C0595" w:rsidRDefault="00EA00E0" w:rsidP="005C0595">
      <w:pPr>
        <w:spacing w:after="0" w:line="240" w:lineRule="auto"/>
        <w:rPr>
          <w:rFonts w:cstheme="minorHAnsi"/>
          <w:sz w:val="24"/>
          <w:szCs w:val="24"/>
        </w:rPr>
      </w:pPr>
    </w:p>
    <w:p w14:paraId="5B23B4FE" w14:textId="2974B14B" w:rsidR="005866B3" w:rsidRPr="00EA00E0" w:rsidRDefault="005866B3" w:rsidP="00EA00E0">
      <w:pPr>
        <w:spacing w:after="0" w:line="240" w:lineRule="auto"/>
        <w:rPr>
          <w:rFonts w:cstheme="minorHAnsi"/>
          <w:b/>
          <w:sz w:val="24"/>
          <w:szCs w:val="24"/>
        </w:rPr>
      </w:pPr>
      <w:r w:rsidRPr="005C0595">
        <w:rPr>
          <w:rFonts w:cstheme="minorHAnsi"/>
          <w:b/>
          <w:sz w:val="24"/>
          <w:szCs w:val="24"/>
        </w:rPr>
        <w:t xml:space="preserve">Membership </w:t>
      </w:r>
    </w:p>
    <w:p w14:paraId="7CC252A0" w14:textId="77777777" w:rsidR="00EA00E0" w:rsidRPr="005C0595" w:rsidRDefault="00EA00E0" w:rsidP="005C0595">
      <w:pPr>
        <w:spacing w:after="0" w:line="240" w:lineRule="auto"/>
        <w:rPr>
          <w:rFonts w:cstheme="minorHAnsi"/>
          <w:b/>
          <w:sz w:val="24"/>
          <w:szCs w:val="24"/>
        </w:rPr>
      </w:pPr>
    </w:p>
    <w:p w14:paraId="03E3699D" w14:textId="2ECEF613" w:rsidR="005866B3" w:rsidRPr="00EA00E0" w:rsidRDefault="005866B3" w:rsidP="00EA00E0">
      <w:pPr>
        <w:spacing w:after="0" w:line="240" w:lineRule="auto"/>
        <w:rPr>
          <w:rFonts w:cstheme="minorHAnsi"/>
          <w:sz w:val="24"/>
          <w:szCs w:val="24"/>
        </w:rPr>
      </w:pPr>
      <w:r w:rsidRPr="005C0595">
        <w:rPr>
          <w:rFonts w:cstheme="minorHAnsi"/>
          <w:sz w:val="24"/>
          <w:szCs w:val="24"/>
        </w:rPr>
        <w:t xml:space="preserve">The GHA will </w:t>
      </w:r>
      <w:r w:rsidR="00490B58" w:rsidRPr="005C0595">
        <w:rPr>
          <w:rFonts w:cstheme="minorHAnsi"/>
          <w:sz w:val="24"/>
          <w:szCs w:val="24"/>
        </w:rPr>
        <w:t>comprise</w:t>
      </w:r>
      <w:r w:rsidRPr="005C0595">
        <w:rPr>
          <w:rFonts w:cstheme="minorHAnsi"/>
          <w:sz w:val="24"/>
          <w:szCs w:val="24"/>
        </w:rPr>
        <w:t xml:space="preserve"> the following groups:</w:t>
      </w:r>
    </w:p>
    <w:p w14:paraId="7DAB2D9A" w14:textId="64658A20" w:rsidR="00117236" w:rsidRPr="00FA6F16" w:rsidRDefault="00117236" w:rsidP="00EA00E0">
      <w:pPr>
        <w:spacing w:after="0" w:line="240" w:lineRule="auto"/>
        <w:rPr>
          <w:rFonts w:cstheme="minorHAnsi"/>
          <w:sz w:val="28"/>
          <w:szCs w:val="24"/>
        </w:rPr>
      </w:pPr>
    </w:p>
    <w:p w14:paraId="58419746" w14:textId="77777777" w:rsidR="00CF3E40" w:rsidRDefault="00117236" w:rsidP="00CF3E40">
      <w:pPr>
        <w:pStyle w:val="ListParagraph"/>
        <w:numPr>
          <w:ilvl w:val="0"/>
          <w:numId w:val="7"/>
        </w:numPr>
        <w:spacing w:after="0" w:line="240" w:lineRule="auto"/>
        <w:rPr>
          <w:rFonts w:asciiTheme="minorHAnsi" w:hAnsiTheme="minorHAnsi" w:cstheme="minorHAnsi"/>
          <w:sz w:val="24"/>
          <w:szCs w:val="24"/>
        </w:rPr>
      </w:pPr>
      <w:r w:rsidRPr="00FA6F16">
        <w:rPr>
          <w:rFonts w:asciiTheme="minorHAnsi" w:hAnsiTheme="minorHAnsi" w:cstheme="minorHAnsi"/>
          <w:sz w:val="24"/>
          <w:szCs w:val="24"/>
        </w:rPr>
        <w:t xml:space="preserve">Full members: Membership is open to any </w:t>
      </w:r>
      <w:proofErr w:type="spellStart"/>
      <w:r w:rsidRPr="00FA6F16">
        <w:rPr>
          <w:rFonts w:asciiTheme="minorHAnsi" w:hAnsiTheme="minorHAnsi" w:cstheme="minorHAnsi"/>
          <w:sz w:val="24"/>
          <w:szCs w:val="24"/>
        </w:rPr>
        <w:t>organisation</w:t>
      </w:r>
      <w:proofErr w:type="spellEnd"/>
      <w:r w:rsidRPr="00FA6F16">
        <w:rPr>
          <w:rFonts w:asciiTheme="minorHAnsi" w:hAnsiTheme="minorHAnsi" w:cstheme="minorHAnsi"/>
          <w:sz w:val="24"/>
          <w:szCs w:val="24"/>
        </w:rPr>
        <w:t xml:space="preserve"> or individual that shares the GHA’s objectives, has a commitment to collaborative working and has valuable expertise</w:t>
      </w:r>
      <w:r w:rsidR="005169E9" w:rsidRPr="00FA6F16">
        <w:rPr>
          <w:rFonts w:asciiTheme="minorHAnsi" w:hAnsiTheme="minorHAnsi" w:cstheme="minorHAnsi"/>
          <w:sz w:val="24"/>
          <w:szCs w:val="24"/>
        </w:rPr>
        <w:t xml:space="preserve"> to bring</w:t>
      </w:r>
      <w:r w:rsidR="009518EA" w:rsidRPr="00FA6F16">
        <w:rPr>
          <w:rFonts w:asciiTheme="minorHAnsi" w:hAnsiTheme="minorHAnsi" w:cstheme="minorHAnsi"/>
          <w:sz w:val="24"/>
          <w:szCs w:val="24"/>
        </w:rPr>
        <w:t xml:space="preserve"> to the Alliance</w:t>
      </w:r>
      <w:r w:rsidRPr="00FA6F16">
        <w:rPr>
          <w:rFonts w:asciiTheme="minorHAnsi" w:hAnsiTheme="minorHAnsi" w:cstheme="minorHAnsi"/>
          <w:sz w:val="24"/>
          <w:szCs w:val="24"/>
        </w:rPr>
        <w:t xml:space="preserve">. Full members must be able to demonstrate that they </w:t>
      </w:r>
      <w:r w:rsidR="009518EA" w:rsidRPr="00FA6F16">
        <w:rPr>
          <w:rFonts w:asciiTheme="minorHAnsi" w:hAnsiTheme="minorHAnsi" w:cstheme="minorHAnsi"/>
          <w:sz w:val="24"/>
          <w:szCs w:val="24"/>
        </w:rPr>
        <w:t>meet the eligibilit</w:t>
      </w:r>
      <w:r w:rsidR="005169E9" w:rsidRPr="00FA6F16">
        <w:rPr>
          <w:rFonts w:asciiTheme="minorHAnsi" w:hAnsiTheme="minorHAnsi" w:cstheme="minorHAnsi"/>
          <w:sz w:val="24"/>
          <w:szCs w:val="24"/>
        </w:rPr>
        <w:t>y criteria</w:t>
      </w:r>
      <w:r w:rsidRPr="00FA6F16">
        <w:rPr>
          <w:rFonts w:asciiTheme="minorHAnsi" w:hAnsiTheme="minorHAnsi" w:cstheme="minorHAnsi"/>
          <w:sz w:val="24"/>
          <w:szCs w:val="24"/>
        </w:rPr>
        <w:t xml:space="preserve">. Membership is subject to approval by RSPH and the Steering Group.  </w:t>
      </w:r>
    </w:p>
    <w:p w14:paraId="4ACC8EDC" w14:textId="77777777" w:rsidR="00CF3E40" w:rsidRDefault="00CF3E40" w:rsidP="00CF3E40">
      <w:pPr>
        <w:pStyle w:val="ListParagraph"/>
        <w:spacing w:after="0" w:line="240" w:lineRule="auto"/>
        <w:rPr>
          <w:rFonts w:asciiTheme="minorHAnsi" w:hAnsiTheme="minorHAnsi" w:cstheme="minorHAnsi"/>
          <w:sz w:val="24"/>
          <w:szCs w:val="24"/>
        </w:rPr>
      </w:pPr>
    </w:p>
    <w:p w14:paraId="4F441769" w14:textId="6301B048" w:rsidR="00117236" w:rsidRPr="00CF3E40" w:rsidRDefault="00FA6F16" w:rsidP="00CF3E40">
      <w:pPr>
        <w:pStyle w:val="ListParagraph"/>
        <w:numPr>
          <w:ilvl w:val="0"/>
          <w:numId w:val="7"/>
        </w:numPr>
        <w:spacing w:after="0" w:line="240" w:lineRule="auto"/>
        <w:rPr>
          <w:rFonts w:ascii="Calibri" w:hAnsi="Calibri" w:cs="Calibri"/>
          <w:sz w:val="24"/>
          <w:szCs w:val="24"/>
        </w:rPr>
      </w:pPr>
      <w:r w:rsidRPr="00CF3E40">
        <w:rPr>
          <w:rFonts w:ascii="Calibri" w:hAnsi="Calibri" w:cs="Calibri"/>
          <w:sz w:val="24"/>
          <w:szCs w:val="24"/>
        </w:rPr>
        <w:t>Observers</w:t>
      </w:r>
      <w:r w:rsidR="00117236" w:rsidRPr="00CF3E40">
        <w:rPr>
          <w:rFonts w:ascii="Calibri" w:hAnsi="Calibri" w:cs="Calibri"/>
          <w:sz w:val="24"/>
          <w:szCs w:val="24"/>
        </w:rPr>
        <w:t xml:space="preserve">: </w:t>
      </w:r>
      <w:r w:rsidR="009518EA" w:rsidRPr="00CF3E40">
        <w:rPr>
          <w:rFonts w:ascii="Calibri" w:hAnsi="Calibri" w:cs="Calibri"/>
          <w:sz w:val="24"/>
          <w:szCs w:val="24"/>
        </w:rPr>
        <w:t xml:space="preserve">The GHA strives to be open and inclusive. This level of membership is aimed at </w:t>
      </w:r>
      <w:proofErr w:type="spellStart"/>
      <w:r w:rsidR="009518EA" w:rsidRPr="00CF3E40">
        <w:rPr>
          <w:rFonts w:ascii="Calibri" w:hAnsi="Calibri" w:cs="Calibri"/>
          <w:sz w:val="24"/>
          <w:szCs w:val="24"/>
        </w:rPr>
        <w:t>organisations</w:t>
      </w:r>
      <w:proofErr w:type="spellEnd"/>
      <w:r w:rsidR="009518EA" w:rsidRPr="00CF3E40">
        <w:rPr>
          <w:rFonts w:ascii="Calibri" w:hAnsi="Calibri" w:cs="Calibri"/>
          <w:sz w:val="24"/>
          <w:szCs w:val="24"/>
        </w:rPr>
        <w:t xml:space="preserve"> </w:t>
      </w:r>
      <w:r w:rsidR="005169E9" w:rsidRPr="00CF3E40">
        <w:rPr>
          <w:rFonts w:ascii="Calibri" w:hAnsi="Calibri" w:cs="Calibri"/>
          <w:sz w:val="24"/>
          <w:szCs w:val="24"/>
        </w:rPr>
        <w:t>who meet the full eligibility criteria, support most or all of the objectives of GHA but who do not wish to, or are not</w:t>
      </w:r>
      <w:r w:rsidR="00162CC9" w:rsidRPr="00CF3E40">
        <w:rPr>
          <w:rFonts w:ascii="Calibri" w:hAnsi="Calibri" w:cs="Calibri"/>
          <w:sz w:val="24"/>
          <w:szCs w:val="24"/>
        </w:rPr>
        <w:t xml:space="preserve"> deemed</w:t>
      </w:r>
      <w:r w:rsidR="005169E9" w:rsidRPr="00CF3E40">
        <w:rPr>
          <w:rFonts w:ascii="Calibri" w:hAnsi="Calibri" w:cs="Calibri"/>
          <w:sz w:val="24"/>
          <w:szCs w:val="24"/>
        </w:rPr>
        <w:t xml:space="preserve"> able to, contribute to or be associated with its policy outputs or public statements.</w:t>
      </w:r>
      <w:r w:rsidR="00CF3E40">
        <w:rPr>
          <w:rFonts w:ascii="Calibri" w:hAnsi="Calibri" w:cs="Calibri"/>
          <w:sz w:val="24"/>
          <w:szCs w:val="24"/>
        </w:rPr>
        <w:t xml:space="preserve"> </w:t>
      </w:r>
      <w:r w:rsidR="00162CC9" w:rsidRPr="00CF3E40">
        <w:rPr>
          <w:rFonts w:ascii="Calibri" w:hAnsi="Calibri" w:cs="Calibri"/>
          <w:sz w:val="24"/>
          <w:szCs w:val="24"/>
        </w:rPr>
        <w:t xml:space="preserve">This type of membership includes Government departments, political groups, and </w:t>
      </w:r>
      <w:r w:rsidRPr="00CF3E40">
        <w:rPr>
          <w:rFonts w:ascii="Calibri" w:hAnsi="Calibri" w:cs="Calibri"/>
          <w:sz w:val="24"/>
          <w:szCs w:val="24"/>
        </w:rPr>
        <w:t>otherwise eligible members who receive funds directly or indirectly from the gambling industry and are unable to demonstrate clear policies that ensure the complete separation of these relationships from policy position development.</w:t>
      </w:r>
      <w:r w:rsidR="00CF3E40" w:rsidRPr="00CF3E40">
        <w:t xml:space="preserve"> </w:t>
      </w:r>
      <w:r w:rsidR="005269A1">
        <w:rPr>
          <w:rFonts w:ascii="Calibri" w:hAnsi="Calibri" w:cs="Calibri"/>
          <w:sz w:val="24"/>
          <w:szCs w:val="24"/>
        </w:rPr>
        <w:t>Observer</w:t>
      </w:r>
      <w:r w:rsidR="009518EA" w:rsidRPr="00CF3E40">
        <w:rPr>
          <w:rFonts w:ascii="Calibri" w:hAnsi="Calibri" w:cs="Calibri"/>
          <w:sz w:val="24"/>
          <w:szCs w:val="24"/>
        </w:rPr>
        <w:t xml:space="preserve">s can attend the GHA’s all-member meetings on an observer basis and the secretariat will keep them </w:t>
      </w:r>
      <w:r w:rsidR="009518EA" w:rsidRPr="00CF3E40">
        <w:rPr>
          <w:rFonts w:ascii="Calibri" w:hAnsi="Calibri" w:cs="Calibri"/>
          <w:sz w:val="24"/>
          <w:szCs w:val="24"/>
        </w:rPr>
        <w:lastRenderedPageBreak/>
        <w:t>up-to-date on GHA activity, but they cannot feed into policy outputs or public statements.</w:t>
      </w:r>
      <w:r w:rsidR="005269A1">
        <w:rPr>
          <w:rFonts w:ascii="Calibri" w:hAnsi="Calibri" w:cs="Calibri"/>
          <w:sz w:val="24"/>
          <w:szCs w:val="24"/>
        </w:rPr>
        <w:t xml:space="preserve"> </w:t>
      </w:r>
      <w:r w:rsidR="00A51235">
        <w:rPr>
          <w:rFonts w:ascii="Calibri" w:hAnsi="Calibri" w:cs="Calibri"/>
          <w:sz w:val="24"/>
          <w:szCs w:val="24"/>
        </w:rPr>
        <w:t xml:space="preserve">This means that at GHA meetings, observers will be muted, except </w:t>
      </w:r>
      <w:r w:rsidR="00906CD4">
        <w:rPr>
          <w:rFonts w:ascii="Calibri" w:hAnsi="Calibri" w:cs="Calibri"/>
          <w:sz w:val="24"/>
          <w:szCs w:val="24"/>
        </w:rPr>
        <w:t>when specifically invited by the Chair to speak and at the end of the meeting when they will be given an opportunity to comment</w:t>
      </w:r>
      <w:r w:rsidR="00A51235">
        <w:rPr>
          <w:rFonts w:ascii="Calibri" w:hAnsi="Calibri" w:cs="Calibri"/>
          <w:sz w:val="24"/>
          <w:szCs w:val="24"/>
        </w:rPr>
        <w:t xml:space="preserve">. Observers will not be included in member correspondence seeking input and feedback on GHA policy or public outputs. </w:t>
      </w:r>
      <w:r w:rsidR="005269A1">
        <w:rPr>
          <w:rFonts w:ascii="Calibri" w:hAnsi="Calibri" w:cs="Calibri"/>
          <w:sz w:val="24"/>
          <w:szCs w:val="24"/>
        </w:rPr>
        <w:t xml:space="preserve">Classification of Observer </w:t>
      </w:r>
      <w:r w:rsidR="00162CC9" w:rsidRPr="00CF3E40">
        <w:rPr>
          <w:rFonts w:ascii="Calibri" w:hAnsi="Calibri" w:cs="Calibri"/>
          <w:sz w:val="24"/>
          <w:szCs w:val="24"/>
        </w:rPr>
        <w:t xml:space="preserve">membership is at the discretion of RSPH and the Steering Group following membership approval. </w:t>
      </w:r>
      <w:r w:rsidR="009518EA" w:rsidRPr="00CF3E40">
        <w:rPr>
          <w:rFonts w:ascii="Calibri" w:hAnsi="Calibri" w:cs="Calibri"/>
          <w:sz w:val="24"/>
          <w:szCs w:val="24"/>
        </w:rPr>
        <w:t xml:space="preserve">  </w:t>
      </w:r>
      <w:bookmarkStart w:id="0" w:name="_GoBack"/>
      <w:bookmarkEnd w:id="0"/>
    </w:p>
    <w:p w14:paraId="2CEBDF86" w14:textId="77777777" w:rsidR="00EA00E0" w:rsidRPr="00CF3E40" w:rsidRDefault="00EA00E0" w:rsidP="005C0595">
      <w:pPr>
        <w:spacing w:after="0" w:line="240" w:lineRule="auto"/>
        <w:rPr>
          <w:rFonts w:ascii="Calibri" w:hAnsi="Calibri" w:cs="Calibri"/>
          <w:sz w:val="24"/>
          <w:szCs w:val="24"/>
        </w:rPr>
      </w:pPr>
    </w:p>
    <w:p w14:paraId="118822FB" w14:textId="50624107" w:rsidR="00725DA2" w:rsidRPr="007E57FD" w:rsidRDefault="00725DA2" w:rsidP="007E57FD">
      <w:pPr>
        <w:rPr>
          <w:rFonts w:cstheme="minorHAnsi"/>
          <w:sz w:val="24"/>
          <w:szCs w:val="24"/>
        </w:rPr>
      </w:pPr>
      <w:r w:rsidRPr="005C0595">
        <w:rPr>
          <w:rFonts w:cstheme="minorHAnsi"/>
          <w:sz w:val="24"/>
          <w:szCs w:val="24"/>
        </w:rPr>
        <w:t xml:space="preserve">Members may join by application or invitation. To be eligible, organisations </w:t>
      </w:r>
      <w:r w:rsidR="00FA6F16">
        <w:rPr>
          <w:rFonts w:cstheme="minorHAnsi"/>
          <w:sz w:val="24"/>
          <w:szCs w:val="24"/>
        </w:rPr>
        <w:t xml:space="preserve">or individuals </w:t>
      </w:r>
      <w:r w:rsidRPr="005C0595">
        <w:rPr>
          <w:rFonts w:cstheme="minorHAnsi"/>
          <w:sz w:val="24"/>
          <w:szCs w:val="24"/>
        </w:rPr>
        <w:t>must:</w:t>
      </w:r>
    </w:p>
    <w:p w14:paraId="0060120B" w14:textId="02CD56FC" w:rsidR="00EA00E0" w:rsidRPr="005C0595" w:rsidRDefault="00EA00E0" w:rsidP="005C0595">
      <w:pPr>
        <w:pStyle w:val="ListParagraph"/>
        <w:numPr>
          <w:ilvl w:val="0"/>
          <w:numId w:val="5"/>
        </w:numPr>
        <w:spacing w:after="0" w:line="240" w:lineRule="auto"/>
        <w:ind w:left="360"/>
        <w:rPr>
          <w:rFonts w:asciiTheme="minorHAnsi" w:hAnsiTheme="minorHAnsi" w:cstheme="minorHAnsi"/>
          <w:sz w:val="24"/>
          <w:szCs w:val="24"/>
        </w:rPr>
      </w:pPr>
      <w:r w:rsidRPr="005C0595">
        <w:rPr>
          <w:rFonts w:asciiTheme="minorHAnsi" w:hAnsiTheme="minorHAnsi" w:cstheme="minorHAnsi"/>
          <w:sz w:val="24"/>
          <w:szCs w:val="24"/>
        </w:rPr>
        <w:t>Support the GHA’s overall objectives (as stated above).</w:t>
      </w:r>
    </w:p>
    <w:p w14:paraId="407A2977" w14:textId="77777777" w:rsidR="00EA00E0" w:rsidRPr="005C0595" w:rsidRDefault="00EA00E0" w:rsidP="005C0595">
      <w:pPr>
        <w:pStyle w:val="ListParagraph"/>
        <w:spacing w:after="0" w:line="240" w:lineRule="auto"/>
        <w:ind w:left="360"/>
        <w:rPr>
          <w:rFonts w:asciiTheme="minorHAnsi" w:hAnsiTheme="minorHAnsi" w:cstheme="minorHAnsi"/>
          <w:sz w:val="24"/>
          <w:szCs w:val="24"/>
        </w:rPr>
      </w:pPr>
    </w:p>
    <w:p w14:paraId="7FACDD1B" w14:textId="04561EB7" w:rsidR="00725DA2" w:rsidRPr="005C0595" w:rsidRDefault="00725DA2" w:rsidP="005C0595">
      <w:pPr>
        <w:pStyle w:val="ListParagraph"/>
        <w:numPr>
          <w:ilvl w:val="0"/>
          <w:numId w:val="5"/>
        </w:numPr>
        <w:spacing w:after="0" w:line="240" w:lineRule="auto"/>
        <w:ind w:left="360"/>
        <w:rPr>
          <w:rFonts w:asciiTheme="minorHAnsi" w:hAnsiTheme="minorHAnsi" w:cstheme="minorHAnsi"/>
          <w:sz w:val="24"/>
          <w:szCs w:val="24"/>
        </w:rPr>
      </w:pPr>
      <w:r w:rsidRPr="005C0595">
        <w:rPr>
          <w:rFonts w:asciiTheme="minorHAnsi" w:hAnsiTheme="minorHAnsi" w:cstheme="minorHAnsi"/>
          <w:sz w:val="24"/>
          <w:szCs w:val="24"/>
        </w:rPr>
        <w:t xml:space="preserve">Be committed to working in respectful and constructive partnership with other </w:t>
      </w:r>
      <w:proofErr w:type="spellStart"/>
      <w:r w:rsidRPr="005C0595">
        <w:rPr>
          <w:rFonts w:asciiTheme="minorHAnsi" w:hAnsiTheme="minorHAnsi" w:cstheme="minorHAnsi"/>
          <w:sz w:val="24"/>
          <w:szCs w:val="24"/>
        </w:rPr>
        <w:t>organisations</w:t>
      </w:r>
      <w:proofErr w:type="spellEnd"/>
      <w:r w:rsidRPr="005C0595">
        <w:rPr>
          <w:rFonts w:asciiTheme="minorHAnsi" w:hAnsiTheme="minorHAnsi" w:cstheme="minorHAnsi"/>
          <w:sz w:val="24"/>
          <w:szCs w:val="24"/>
        </w:rPr>
        <w:t xml:space="preserve"> within the GHA and respect any parameters put in place regarding </w:t>
      </w:r>
      <w:r w:rsidR="00F746EA">
        <w:rPr>
          <w:rFonts w:asciiTheme="minorHAnsi" w:hAnsiTheme="minorHAnsi" w:cstheme="minorHAnsi"/>
          <w:sz w:val="24"/>
          <w:szCs w:val="24"/>
        </w:rPr>
        <w:t xml:space="preserve">the </w:t>
      </w:r>
      <w:r w:rsidRPr="005C0595">
        <w:rPr>
          <w:rFonts w:asciiTheme="minorHAnsi" w:hAnsiTheme="minorHAnsi" w:cstheme="minorHAnsi"/>
          <w:sz w:val="24"/>
          <w:szCs w:val="24"/>
        </w:rPr>
        <w:t>sharing of confidential information (e.g. not breaking embargos or passing on information to non-GHA members).</w:t>
      </w:r>
    </w:p>
    <w:p w14:paraId="4C4417BF" w14:textId="77777777" w:rsidR="00725DA2" w:rsidRPr="005C0595" w:rsidRDefault="00725DA2" w:rsidP="005C0595">
      <w:pPr>
        <w:pStyle w:val="ListParagraph"/>
        <w:spacing w:after="0" w:line="240" w:lineRule="auto"/>
        <w:ind w:left="360"/>
        <w:rPr>
          <w:rFonts w:asciiTheme="minorHAnsi" w:hAnsiTheme="minorHAnsi" w:cstheme="minorHAnsi"/>
          <w:sz w:val="24"/>
          <w:szCs w:val="24"/>
        </w:rPr>
      </w:pPr>
    </w:p>
    <w:p w14:paraId="6D3FD843" w14:textId="4F288258" w:rsidR="00EA00E0" w:rsidRDefault="00725DA2" w:rsidP="00EA00E0">
      <w:pPr>
        <w:pStyle w:val="ListParagraph"/>
        <w:numPr>
          <w:ilvl w:val="0"/>
          <w:numId w:val="5"/>
        </w:numPr>
        <w:spacing w:after="0" w:line="240" w:lineRule="auto"/>
        <w:ind w:left="360"/>
        <w:rPr>
          <w:rFonts w:asciiTheme="minorHAnsi" w:hAnsiTheme="minorHAnsi" w:cstheme="minorHAnsi"/>
          <w:sz w:val="24"/>
          <w:szCs w:val="24"/>
        </w:rPr>
      </w:pPr>
      <w:r w:rsidRPr="005C0595">
        <w:rPr>
          <w:rFonts w:asciiTheme="minorHAnsi" w:hAnsiTheme="minorHAnsi" w:cstheme="minorHAnsi"/>
          <w:sz w:val="24"/>
          <w:szCs w:val="24"/>
        </w:rPr>
        <w:t>Not speak publicly on behalf of the GHA, or seek to represent it externally, without the express permission of the Chair or Steering Group.</w:t>
      </w:r>
    </w:p>
    <w:p w14:paraId="5FF29486" w14:textId="77777777" w:rsidR="00344876" w:rsidRPr="005C0595" w:rsidRDefault="00344876" w:rsidP="005C0595">
      <w:pPr>
        <w:pStyle w:val="ListParagraph"/>
        <w:rPr>
          <w:rFonts w:asciiTheme="minorHAnsi" w:hAnsiTheme="minorHAnsi" w:cstheme="minorHAnsi"/>
          <w:sz w:val="24"/>
          <w:szCs w:val="24"/>
        </w:rPr>
      </w:pPr>
    </w:p>
    <w:p w14:paraId="601D527E" w14:textId="0BBD1221" w:rsidR="00344876" w:rsidRDefault="00F746EA" w:rsidP="00EA00E0">
      <w:pPr>
        <w:pStyle w:val="ListParagraph"/>
        <w:numPr>
          <w:ilvl w:val="0"/>
          <w:numId w:val="5"/>
        </w:numPr>
        <w:spacing w:after="0" w:line="240" w:lineRule="auto"/>
        <w:ind w:left="360"/>
        <w:rPr>
          <w:rFonts w:asciiTheme="minorHAnsi" w:hAnsiTheme="minorHAnsi" w:cstheme="minorHAnsi"/>
          <w:sz w:val="24"/>
          <w:szCs w:val="24"/>
        </w:rPr>
      </w:pPr>
      <w:r>
        <w:rPr>
          <w:rFonts w:asciiTheme="minorHAnsi" w:hAnsiTheme="minorHAnsi" w:cstheme="minorHAnsi"/>
          <w:sz w:val="24"/>
          <w:szCs w:val="24"/>
        </w:rPr>
        <w:t>Be</w:t>
      </w:r>
      <w:r w:rsidR="00344876">
        <w:rPr>
          <w:rFonts w:asciiTheme="minorHAnsi" w:hAnsiTheme="minorHAnsi" w:cstheme="minorHAnsi"/>
          <w:sz w:val="24"/>
          <w:szCs w:val="24"/>
        </w:rPr>
        <w:t xml:space="preserve"> a</w:t>
      </w:r>
      <w:r w:rsidR="00BF2E40">
        <w:rPr>
          <w:rFonts w:asciiTheme="minorHAnsi" w:hAnsiTheme="minorHAnsi" w:cstheme="minorHAnsi"/>
          <w:sz w:val="24"/>
          <w:szCs w:val="24"/>
        </w:rPr>
        <w:t>n individual, a</w:t>
      </w:r>
      <w:r w:rsidR="00344876">
        <w:rPr>
          <w:rFonts w:asciiTheme="minorHAnsi" w:hAnsiTheme="minorHAnsi" w:cstheme="minorHAnsi"/>
          <w:sz w:val="24"/>
          <w:szCs w:val="24"/>
        </w:rPr>
        <w:t xml:space="preserve"> public sector agency</w:t>
      </w:r>
      <w:r>
        <w:rPr>
          <w:rFonts w:asciiTheme="minorHAnsi" w:hAnsiTheme="minorHAnsi" w:cstheme="minorHAnsi"/>
          <w:sz w:val="24"/>
          <w:szCs w:val="24"/>
        </w:rPr>
        <w:t>,</w:t>
      </w:r>
      <w:r w:rsidR="00344876">
        <w:rPr>
          <w:rFonts w:asciiTheme="minorHAnsi" w:hAnsiTheme="minorHAnsi" w:cstheme="minorHAnsi"/>
          <w:sz w:val="24"/>
          <w:szCs w:val="24"/>
        </w:rPr>
        <w:t xml:space="preserve"> professional </w:t>
      </w:r>
      <w:proofErr w:type="spellStart"/>
      <w:r w:rsidR="00344876">
        <w:rPr>
          <w:rFonts w:asciiTheme="minorHAnsi" w:hAnsiTheme="minorHAnsi" w:cstheme="minorHAnsi"/>
          <w:sz w:val="24"/>
          <w:szCs w:val="24"/>
        </w:rPr>
        <w:t>organisation</w:t>
      </w:r>
      <w:proofErr w:type="spellEnd"/>
      <w:r w:rsidR="00344876">
        <w:rPr>
          <w:rFonts w:asciiTheme="minorHAnsi" w:hAnsiTheme="minorHAnsi" w:cstheme="minorHAnsi"/>
          <w:sz w:val="24"/>
          <w:szCs w:val="24"/>
        </w:rPr>
        <w:t xml:space="preserve">, a registered charity, a social enterprise or a similar non-commercial, not-for-profit </w:t>
      </w:r>
      <w:proofErr w:type="spellStart"/>
      <w:r w:rsidR="00344876">
        <w:rPr>
          <w:rFonts w:asciiTheme="minorHAnsi" w:hAnsiTheme="minorHAnsi" w:cstheme="minorHAnsi"/>
          <w:sz w:val="24"/>
          <w:szCs w:val="24"/>
        </w:rPr>
        <w:t>organisation</w:t>
      </w:r>
      <w:proofErr w:type="spellEnd"/>
      <w:r w:rsidR="00344876">
        <w:rPr>
          <w:rFonts w:asciiTheme="minorHAnsi" w:hAnsiTheme="minorHAnsi" w:cstheme="minorHAnsi"/>
          <w:sz w:val="24"/>
          <w:szCs w:val="24"/>
        </w:rPr>
        <w:t>.</w:t>
      </w:r>
    </w:p>
    <w:p w14:paraId="6E79B1F4" w14:textId="77777777" w:rsidR="00EA00E0" w:rsidRPr="005C0595" w:rsidRDefault="00EA00E0" w:rsidP="005C0595">
      <w:pPr>
        <w:spacing w:after="0" w:line="240" w:lineRule="auto"/>
        <w:rPr>
          <w:rFonts w:cstheme="minorHAnsi"/>
          <w:sz w:val="24"/>
          <w:szCs w:val="24"/>
        </w:rPr>
      </w:pPr>
    </w:p>
    <w:p w14:paraId="7815C3D6" w14:textId="173DD467" w:rsidR="00EA00E0" w:rsidRPr="005C0595" w:rsidRDefault="00725DA2" w:rsidP="005C0595">
      <w:pPr>
        <w:pStyle w:val="ListParagraph"/>
        <w:numPr>
          <w:ilvl w:val="0"/>
          <w:numId w:val="5"/>
        </w:numPr>
        <w:spacing w:after="0" w:line="240" w:lineRule="auto"/>
        <w:ind w:left="360"/>
        <w:rPr>
          <w:rFonts w:asciiTheme="minorHAnsi" w:hAnsiTheme="minorHAnsi" w:cstheme="minorHAnsi"/>
          <w:sz w:val="24"/>
          <w:szCs w:val="24"/>
        </w:rPr>
      </w:pPr>
      <w:r w:rsidRPr="005C0595">
        <w:rPr>
          <w:rFonts w:asciiTheme="minorHAnsi" w:hAnsiTheme="minorHAnsi" w:cstheme="minorHAnsi"/>
          <w:sz w:val="24"/>
          <w:szCs w:val="24"/>
        </w:rPr>
        <w:t>Have an independent voice from the gambling industry and can declare to the GHA Steering Group any direct or indirect funds received from the gambling industry</w:t>
      </w:r>
      <w:r w:rsidR="00A96639">
        <w:rPr>
          <w:rFonts w:asciiTheme="minorHAnsi" w:hAnsiTheme="minorHAnsi" w:cstheme="minorHAnsi"/>
          <w:sz w:val="24"/>
          <w:szCs w:val="24"/>
        </w:rPr>
        <w:t>,</w:t>
      </w:r>
      <w:r w:rsidRPr="005C0595">
        <w:rPr>
          <w:rFonts w:asciiTheme="minorHAnsi" w:hAnsiTheme="minorHAnsi" w:cstheme="minorHAnsi"/>
          <w:sz w:val="24"/>
          <w:szCs w:val="24"/>
        </w:rPr>
        <w:t xml:space="preserve"> and demonstrate clear policies </w:t>
      </w:r>
      <w:r w:rsidR="00F746EA">
        <w:rPr>
          <w:rFonts w:asciiTheme="minorHAnsi" w:hAnsiTheme="minorHAnsi" w:cstheme="minorHAnsi"/>
          <w:sz w:val="24"/>
          <w:szCs w:val="24"/>
        </w:rPr>
        <w:t>that</w:t>
      </w:r>
      <w:r w:rsidRPr="005C0595">
        <w:rPr>
          <w:rFonts w:asciiTheme="minorHAnsi" w:hAnsiTheme="minorHAnsi" w:cstheme="minorHAnsi"/>
          <w:sz w:val="24"/>
          <w:szCs w:val="24"/>
        </w:rPr>
        <w:t xml:space="preserve"> ensure </w:t>
      </w:r>
      <w:r w:rsidR="00F746EA">
        <w:rPr>
          <w:rFonts w:asciiTheme="minorHAnsi" w:hAnsiTheme="minorHAnsi" w:cstheme="minorHAnsi"/>
          <w:sz w:val="24"/>
          <w:szCs w:val="24"/>
        </w:rPr>
        <w:t xml:space="preserve">the </w:t>
      </w:r>
      <w:r w:rsidRPr="005C0595">
        <w:rPr>
          <w:rFonts w:asciiTheme="minorHAnsi" w:hAnsiTheme="minorHAnsi" w:cstheme="minorHAnsi"/>
          <w:sz w:val="24"/>
          <w:szCs w:val="24"/>
        </w:rPr>
        <w:t>complete separa</w:t>
      </w:r>
      <w:r w:rsidR="009A1A1D">
        <w:rPr>
          <w:rFonts w:asciiTheme="minorHAnsi" w:hAnsiTheme="minorHAnsi" w:cstheme="minorHAnsi"/>
          <w:sz w:val="24"/>
          <w:szCs w:val="24"/>
        </w:rPr>
        <w:t xml:space="preserve">tion of these relationships from </w:t>
      </w:r>
      <w:r w:rsidRPr="005C0595">
        <w:rPr>
          <w:rFonts w:asciiTheme="minorHAnsi" w:hAnsiTheme="minorHAnsi" w:cstheme="minorHAnsi"/>
          <w:sz w:val="24"/>
          <w:szCs w:val="24"/>
        </w:rPr>
        <w:t>policy position development.</w:t>
      </w:r>
      <w:r w:rsidR="007E57FD">
        <w:rPr>
          <w:rFonts w:asciiTheme="minorHAnsi" w:hAnsiTheme="minorHAnsi" w:cstheme="minorHAnsi"/>
          <w:sz w:val="24"/>
          <w:szCs w:val="24"/>
        </w:rPr>
        <w:t xml:space="preserve"> An inability to demonstrate</w:t>
      </w:r>
      <w:r w:rsidR="005269A1">
        <w:rPr>
          <w:rFonts w:asciiTheme="minorHAnsi" w:hAnsiTheme="minorHAnsi" w:cstheme="minorHAnsi"/>
          <w:sz w:val="24"/>
          <w:szCs w:val="24"/>
        </w:rPr>
        <w:t xml:space="preserve"> this</w:t>
      </w:r>
      <w:r w:rsidR="007E57FD">
        <w:rPr>
          <w:rFonts w:asciiTheme="minorHAnsi" w:hAnsiTheme="minorHAnsi" w:cstheme="minorHAnsi"/>
          <w:sz w:val="24"/>
          <w:szCs w:val="24"/>
        </w:rPr>
        <w:t xml:space="preserve"> </w:t>
      </w:r>
      <w:r w:rsidR="005269A1">
        <w:rPr>
          <w:rFonts w:asciiTheme="minorHAnsi" w:hAnsiTheme="minorHAnsi" w:cstheme="minorHAnsi"/>
          <w:sz w:val="24"/>
          <w:szCs w:val="24"/>
        </w:rPr>
        <w:t xml:space="preserve">qualifies the </w:t>
      </w:r>
      <w:proofErr w:type="spellStart"/>
      <w:r w:rsidR="005269A1">
        <w:rPr>
          <w:rFonts w:asciiTheme="minorHAnsi" w:hAnsiTheme="minorHAnsi" w:cstheme="minorHAnsi"/>
          <w:sz w:val="24"/>
          <w:szCs w:val="24"/>
        </w:rPr>
        <w:t>org</w:t>
      </w:r>
      <w:r w:rsidR="00086D8D">
        <w:rPr>
          <w:rFonts w:asciiTheme="minorHAnsi" w:hAnsiTheme="minorHAnsi" w:cstheme="minorHAnsi"/>
          <w:sz w:val="24"/>
          <w:szCs w:val="24"/>
        </w:rPr>
        <w:t>anisation</w:t>
      </w:r>
      <w:proofErr w:type="spellEnd"/>
      <w:r w:rsidR="00086D8D">
        <w:rPr>
          <w:rFonts w:asciiTheme="minorHAnsi" w:hAnsiTheme="minorHAnsi" w:cstheme="minorHAnsi"/>
          <w:sz w:val="24"/>
          <w:szCs w:val="24"/>
        </w:rPr>
        <w:t xml:space="preserve"> or individual to </w:t>
      </w:r>
      <w:r w:rsidR="005269A1">
        <w:rPr>
          <w:rFonts w:asciiTheme="minorHAnsi" w:hAnsiTheme="minorHAnsi" w:cstheme="minorHAnsi"/>
          <w:sz w:val="24"/>
          <w:szCs w:val="24"/>
        </w:rPr>
        <w:t>hold Observer status</w:t>
      </w:r>
      <w:r w:rsidR="00086D8D">
        <w:rPr>
          <w:rFonts w:asciiTheme="minorHAnsi" w:hAnsiTheme="minorHAnsi" w:cstheme="minorHAnsi"/>
          <w:sz w:val="24"/>
          <w:szCs w:val="24"/>
        </w:rPr>
        <w:t xml:space="preserve"> only</w:t>
      </w:r>
      <w:r w:rsidR="005269A1">
        <w:rPr>
          <w:rFonts w:asciiTheme="minorHAnsi" w:hAnsiTheme="minorHAnsi" w:cstheme="minorHAnsi"/>
          <w:sz w:val="24"/>
          <w:szCs w:val="24"/>
        </w:rPr>
        <w:t xml:space="preserve">.  </w:t>
      </w:r>
    </w:p>
    <w:p w14:paraId="37127DC9" w14:textId="77777777" w:rsidR="00EA00E0" w:rsidRPr="005C0595" w:rsidRDefault="00EA00E0" w:rsidP="005C0595">
      <w:pPr>
        <w:pStyle w:val="ListParagraph"/>
        <w:spacing w:after="0" w:line="240" w:lineRule="auto"/>
        <w:rPr>
          <w:rFonts w:cstheme="minorHAnsi"/>
          <w:sz w:val="24"/>
          <w:szCs w:val="24"/>
        </w:rPr>
      </w:pPr>
    </w:p>
    <w:p w14:paraId="38A9E8AF" w14:textId="0520EE14" w:rsidR="00725DA2" w:rsidRPr="00344876" w:rsidRDefault="00725DA2" w:rsidP="00EA00E0">
      <w:pPr>
        <w:pStyle w:val="ListParagraph"/>
        <w:numPr>
          <w:ilvl w:val="0"/>
          <w:numId w:val="6"/>
        </w:numPr>
        <w:spacing w:after="0" w:line="240" w:lineRule="auto"/>
        <w:rPr>
          <w:rFonts w:asciiTheme="minorHAnsi" w:hAnsiTheme="minorHAnsi" w:cstheme="minorHAnsi"/>
          <w:sz w:val="24"/>
          <w:szCs w:val="24"/>
        </w:rPr>
      </w:pPr>
      <w:r w:rsidRPr="005C0595">
        <w:rPr>
          <w:rFonts w:asciiTheme="minorHAnsi" w:hAnsiTheme="minorHAnsi" w:cstheme="minorHAnsi"/>
          <w:sz w:val="24"/>
          <w:szCs w:val="24"/>
        </w:rPr>
        <w:t>Can demonstrate their commitment to working within the parameters of evidence-based public health</w:t>
      </w:r>
      <w:r w:rsidR="00344876" w:rsidRPr="00344876">
        <w:rPr>
          <w:rFonts w:asciiTheme="minorHAnsi" w:hAnsiTheme="minorHAnsi" w:cstheme="minorHAnsi"/>
          <w:sz w:val="24"/>
          <w:szCs w:val="24"/>
        </w:rPr>
        <w:t xml:space="preserve"> research, theory and practice</w:t>
      </w:r>
      <w:r w:rsidR="00EA00E0" w:rsidRPr="005C0595">
        <w:rPr>
          <w:rFonts w:asciiTheme="minorHAnsi" w:hAnsiTheme="minorHAnsi" w:cstheme="minorHAnsi"/>
          <w:sz w:val="24"/>
          <w:szCs w:val="24"/>
        </w:rPr>
        <w:t>.</w:t>
      </w:r>
    </w:p>
    <w:p w14:paraId="3043E7EF" w14:textId="77777777" w:rsidR="00344876" w:rsidRPr="00344876" w:rsidRDefault="00344876" w:rsidP="005C0595">
      <w:pPr>
        <w:pStyle w:val="ListParagraph"/>
        <w:spacing w:after="0" w:line="240" w:lineRule="auto"/>
        <w:ind w:left="360"/>
        <w:rPr>
          <w:rFonts w:asciiTheme="minorHAnsi" w:hAnsiTheme="minorHAnsi" w:cstheme="minorHAnsi"/>
          <w:sz w:val="24"/>
          <w:szCs w:val="24"/>
        </w:rPr>
      </w:pPr>
    </w:p>
    <w:p w14:paraId="55D28593" w14:textId="74DB3AA9" w:rsidR="00344876" w:rsidRPr="005C0595" w:rsidRDefault="00344876" w:rsidP="00EA00E0">
      <w:pPr>
        <w:pStyle w:val="ListParagraph"/>
        <w:numPr>
          <w:ilvl w:val="0"/>
          <w:numId w:val="6"/>
        </w:numPr>
        <w:spacing w:after="0" w:line="240" w:lineRule="auto"/>
        <w:rPr>
          <w:rFonts w:asciiTheme="minorHAnsi" w:hAnsiTheme="minorHAnsi" w:cstheme="minorHAnsi"/>
          <w:sz w:val="24"/>
          <w:szCs w:val="24"/>
        </w:rPr>
      </w:pPr>
      <w:r w:rsidRPr="005C0595">
        <w:rPr>
          <w:rFonts w:asciiTheme="minorHAnsi" w:hAnsiTheme="minorHAnsi" w:cstheme="minorHAnsi"/>
          <w:sz w:val="24"/>
          <w:szCs w:val="24"/>
        </w:rPr>
        <w:t>Support human rights and equality with respect to age, disability, sex and gender, race, religion and belief, and sexual orientation.</w:t>
      </w:r>
    </w:p>
    <w:p w14:paraId="3F12371A" w14:textId="77777777" w:rsidR="00EA00E0" w:rsidRPr="005C0595" w:rsidRDefault="00EA00E0" w:rsidP="005C0595">
      <w:pPr>
        <w:pStyle w:val="ListParagraph"/>
        <w:spacing w:after="0" w:line="240" w:lineRule="auto"/>
        <w:ind w:left="360"/>
        <w:rPr>
          <w:rFonts w:asciiTheme="minorHAnsi" w:hAnsiTheme="minorHAnsi" w:cstheme="minorHAnsi"/>
          <w:sz w:val="24"/>
          <w:szCs w:val="24"/>
        </w:rPr>
      </w:pPr>
    </w:p>
    <w:p w14:paraId="7B859F8E" w14:textId="574E6404" w:rsidR="00F746EA" w:rsidRDefault="00725DA2" w:rsidP="00EA00E0">
      <w:pPr>
        <w:spacing w:after="0" w:line="240" w:lineRule="auto"/>
        <w:rPr>
          <w:rFonts w:cstheme="minorHAnsi"/>
          <w:sz w:val="24"/>
          <w:szCs w:val="24"/>
        </w:rPr>
      </w:pPr>
      <w:r w:rsidRPr="005C0595">
        <w:rPr>
          <w:rFonts w:cstheme="minorHAnsi"/>
          <w:sz w:val="24"/>
          <w:szCs w:val="24"/>
        </w:rPr>
        <w:t>Interested organisations who meet the conditions above will be asked to complete a</w:t>
      </w:r>
      <w:r w:rsidR="00BF2E40">
        <w:rPr>
          <w:rFonts w:cstheme="minorHAnsi"/>
          <w:sz w:val="24"/>
          <w:szCs w:val="24"/>
        </w:rPr>
        <w:t xml:space="preserve"> prospective membership form</w:t>
      </w:r>
      <w:r w:rsidRPr="005C0595">
        <w:rPr>
          <w:rFonts w:cstheme="minorHAnsi"/>
          <w:sz w:val="24"/>
          <w:szCs w:val="24"/>
        </w:rPr>
        <w:t xml:space="preserve"> to be used by the Steering Group as due diligence to consider membership requests. Prospective members may be asked to provide additional information if the Steering Group have additional questions or concerns about their ability to meet the above conditions.</w:t>
      </w:r>
    </w:p>
    <w:p w14:paraId="6FD6CC82" w14:textId="2269DAA6" w:rsidR="00344876" w:rsidRDefault="00344876" w:rsidP="00EA00E0">
      <w:pPr>
        <w:spacing w:after="0" w:line="240" w:lineRule="auto"/>
        <w:rPr>
          <w:rFonts w:cstheme="minorHAnsi"/>
          <w:sz w:val="24"/>
          <w:szCs w:val="24"/>
        </w:rPr>
      </w:pPr>
    </w:p>
    <w:p w14:paraId="56BA944C" w14:textId="593C4120" w:rsidR="00344876" w:rsidRPr="005C0595" w:rsidRDefault="00FA6F16" w:rsidP="005C0595">
      <w:pPr>
        <w:spacing w:after="0" w:line="240" w:lineRule="auto"/>
        <w:rPr>
          <w:rFonts w:cstheme="minorHAnsi"/>
          <w:sz w:val="24"/>
          <w:szCs w:val="24"/>
        </w:rPr>
      </w:pPr>
      <w:r>
        <w:rPr>
          <w:rFonts w:cstheme="minorHAnsi"/>
          <w:sz w:val="24"/>
          <w:szCs w:val="24"/>
        </w:rPr>
        <w:t xml:space="preserve">Members </w:t>
      </w:r>
      <w:r w:rsidR="00344876">
        <w:rPr>
          <w:rFonts w:cstheme="minorHAnsi"/>
          <w:sz w:val="24"/>
          <w:szCs w:val="24"/>
        </w:rPr>
        <w:t>may have their membership</w:t>
      </w:r>
      <w:r w:rsidR="00200E9E">
        <w:rPr>
          <w:rFonts w:cstheme="minorHAnsi"/>
          <w:sz w:val="24"/>
          <w:szCs w:val="24"/>
        </w:rPr>
        <w:t xml:space="preserve"> of,</w:t>
      </w:r>
      <w:r w:rsidR="00344876">
        <w:rPr>
          <w:rFonts w:cstheme="minorHAnsi"/>
          <w:sz w:val="24"/>
          <w:szCs w:val="24"/>
        </w:rPr>
        <w:t xml:space="preserve"> </w:t>
      </w:r>
      <w:r w:rsidR="00200E9E">
        <w:rPr>
          <w:rFonts w:cstheme="minorHAnsi"/>
          <w:sz w:val="24"/>
          <w:szCs w:val="24"/>
        </w:rPr>
        <w:t xml:space="preserve">or association with, </w:t>
      </w:r>
      <w:r w:rsidR="00344876">
        <w:rPr>
          <w:rFonts w:cstheme="minorHAnsi"/>
          <w:sz w:val="24"/>
          <w:szCs w:val="24"/>
        </w:rPr>
        <w:t xml:space="preserve">the GHA revoked by the Steering Group if they act ways contradictory to the objectives and values of the Alliance and/or if their continued membership risks bringing the Alliance into disrepute. </w:t>
      </w:r>
    </w:p>
    <w:p w14:paraId="26729116" w14:textId="77777777" w:rsidR="00D70454" w:rsidRPr="005C0595" w:rsidRDefault="00D70454" w:rsidP="005C0595">
      <w:pPr>
        <w:spacing w:after="0" w:line="240" w:lineRule="auto"/>
        <w:rPr>
          <w:rFonts w:cstheme="minorHAnsi"/>
          <w:sz w:val="24"/>
          <w:szCs w:val="24"/>
        </w:rPr>
      </w:pPr>
    </w:p>
    <w:p w14:paraId="6B362DCC" w14:textId="77777777" w:rsidR="00EA00E0" w:rsidRPr="00EA00E0" w:rsidRDefault="00EA00E0" w:rsidP="00EA00E0">
      <w:pPr>
        <w:spacing w:after="0" w:line="240" w:lineRule="auto"/>
        <w:rPr>
          <w:rFonts w:cstheme="minorHAnsi"/>
          <w:b/>
          <w:sz w:val="24"/>
          <w:szCs w:val="24"/>
        </w:rPr>
      </w:pPr>
    </w:p>
    <w:p w14:paraId="60537181" w14:textId="1887CED7" w:rsidR="005866B3" w:rsidRPr="00EA00E0" w:rsidRDefault="005866B3" w:rsidP="00EA00E0">
      <w:pPr>
        <w:spacing w:after="0" w:line="240" w:lineRule="auto"/>
        <w:rPr>
          <w:rFonts w:cstheme="minorHAnsi"/>
          <w:b/>
          <w:sz w:val="24"/>
          <w:szCs w:val="24"/>
        </w:rPr>
      </w:pPr>
      <w:r w:rsidRPr="005C0595">
        <w:rPr>
          <w:rFonts w:cstheme="minorHAnsi"/>
          <w:b/>
          <w:sz w:val="24"/>
          <w:szCs w:val="24"/>
        </w:rPr>
        <w:t>Benefits of Membership</w:t>
      </w:r>
    </w:p>
    <w:p w14:paraId="2D16DEF4" w14:textId="16730B46" w:rsidR="00EA00E0" w:rsidRPr="00EA00E0" w:rsidRDefault="00EA00E0">
      <w:pPr>
        <w:spacing w:after="0" w:line="240" w:lineRule="auto"/>
        <w:rPr>
          <w:rFonts w:cstheme="minorHAnsi"/>
          <w:b/>
          <w:sz w:val="24"/>
          <w:szCs w:val="24"/>
        </w:rPr>
      </w:pPr>
    </w:p>
    <w:p w14:paraId="56843C58" w14:textId="68FC3963" w:rsidR="00EA00E0" w:rsidRPr="005C0595" w:rsidRDefault="00EA00E0">
      <w:pPr>
        <w:spacing w:after="0" w:line="240" w:lineRule="auto"/>
        <w:rPr>
          <w:rFonts w:cstheme="minorHAnsi"/>
          <w:bCs/>
          <w:sz w:val="24"/>
          <w:szCs w:val="24"/>
        </w:rPr>
      </w:pPr>
      <w:r w:rsidRPr="005C0595">
        <w:rPr>
          <w:rFonts w:cstheme="minorHAnsi"/>
          <w:bCs/>
          <w:sz w:val="24"/>
          <w:szCs w:val="24"/>
        </w:rPr>
        <w:t xml:space="preserve">All members will receive: </w:t>
      </w:r>
    </w:p>
    <w:p w14:paraId="333514FD" w14:textId="77777777" w:rsidR="00EA00E0" w:rsidRPr="005C0595" w:rsidRDefault="00EA00E0" w:rsidP="005C0595">
      <w:pPr>
        <w:spacing w:after="0" w:line="240" w:lineRule="auto"/>
        <w:rPr>
          <w:rFonts w:cstheme="minorHAnsi"/>
          <w:b/>
          <w:sz w:val="24"/>
          <w:szCs w:val="24"/>
        </w:rPr>
      </w:pPr>
    </w:p>
    <w:p w14:paraId="7C364357" w14:textId="33CF9A36" w:rsidR="005866B3" w:rsidRDefault="005866B3" w:rsidP="00344876">
      <w:pPr>
        <w:pStyle w:val="ListParagraph"/>
        <w:numPr>
          <w:ilvl w:val="0"/>
          <w:numId w:val="2"/>
        </w:numPr>
        <w:spacing w:after="0" w:line="240" w:lineRule="auto"/>
        <w:ind w:left="360"/>
        <w:rPr>
          <w:rFonts w:asciiTheme="minorHAnsi" w:hAnsiTheme="minorHAnsi" w:cstheme="minorHAnsi"/>
          <w:color w:val="auto"/>
          <w:sz w:val="24"/>
          <w:szCs w:val="24"/>
        </w:rPr>
      </w:pPr>
      <w:r w:rsidRPr="005C0595">
        <w:rPr>
          <w:rFonts w:asciiTheme="minorHAnsi" w:hAnsiTheme="minorHAnsi" w:cstheme="minorHAnsi"/>
          <w:color w:val="auto"/>
          <w:sz w:val="24"/>
          <w:szCs w:val="24"/>
        </w:rPr>
        <w:t>Regular information updates on policy development and other news relating to gambling</w:t>
      </w:r>
      <w:r w:rsidR="00344876">
        <w:rPr>
          <w:rFonts w:asciiTheme="minorHAnsi" w:hAnsiTheme="minorHAnsi" w:cstheme="minorHAnsi"/>
          <w:color w:val="auto"/>
          <w:sz w:val="24"/>
          <w:szCs w:val="24"/>
        </w:rPr>
        <w:t>.</w:t>
      </w:r>
    </w:p>
    <w:p w14:paraId="3E5BD538" w14:textId="77777777" w:rsidR="00200E9E" w:rsidRPr="005C0595" w:rsidRDefault="00200E9E" w:rsidP="005C0595">
      <w:pPr>
        <w:pStyle w:val="ListParagraph"/>
        <w:spacing w:after="0" w:line="240" w:lineRule="auto"/>
        <w:ind w:left="360"/>
        <w:rPr>
          <w:rFonts w:asciiTheme="minorHAnsi" w:hAnsiTheme="minorHAnsi" w:cstheme="minorHAnsi"/>
          <w:color w:val="auto"/>
          <w:sz w:val="24"/>
          <w:szCs w:val="24"/>
        </w:rPr>
      </w:pPr>
    </w:p>
    <w:p w14:paraId="48C26CDF" w14:textId="466D38B8" w:rsidR="005866B3" w:rsidRDefault="005866B3" w:rsidP="00EA00E0">
      <w:pPr>
        <w:pStyle w:val="ListParagraph"/>
        <w:numPr>
          <w:ilvl w:val="0"/>
          <w:numId w:val="2"/>
        </w:numPr>
        <w:spacing w:after="0" w:line="240" w:lineRule="auto"/>
        <w:ind w:left="360"/>
        <w:rPr>
          <w:rFonts w:asciiTheme="minorHAnsi" w:hAnsiTheme="minorHAnsi" w:cstheme="minorHAnsi"/>
          <w:color w:val="auto"/>
          <w:sz w:val="24"/>
          <w:szCs w:val="24"/>
        </w:rPr>
      </w:pPr>
      <w:r w:rsidRPr="005C0595">
        <w:rPr>
          <w:rFonts w:asciiTheme="minorHAnsi" w:hAnsiTheme="minorHAnsi" w:cstheme="minorHAnsi"/>
          <w:color w:val="auto"/>
          <w:sz w:val="24"/>
          <w:szCs w:val="24"/>
        </w:rPr>
        <w:t>Detailed, evidence</w:t>
      </w:r>
      <w:r w:rsidR="00EA00E0" w:rsidRPr="00EA00E0">
        <w:rPr>
          <w:rFonts w:asciiTheme="minorHAnsi" w:hAnsiTheme="minorHAnsi" w:cstheme="minorHAnsi"/>
          <w:color w:val="auto"/>
          <w:sz w:val="24"/>
          <w:szCs w:val="24"/>
        </w:rPr>
        <w:t>-</w:t>
      </w:r>
      <w:r w:rsidRPr="005C0595">
        <w:rPr>
          <w:rFonts w:asciiTheme="minorHAnsi" w:hAnsiTheme="minorHAnsi" w:cstheme="minorHAnsi"/>
          <w:color w:val="auto"/>
          <w:sz w:val="24"/>
          <w:szCs w:val="24"/>
        </w:rPr>
        <w:t>based policy briefings on priority areas</w:t>
      </w:r>
      <w:r w:rsidR="00344876">
        <w:rPr>
          <w:rFonts w:asciiTheme="minorHAnsi" w:hAnsiTheme="minorHAnsi" w:cstheme="minorHAnsi"/>
          <w:color w:val="auto"/>
          <w:sz w:val="24"/>
          <w:szCs w:val="24"/>
        </w:rPr>
        <w:t>.</w:t>
      </w:r>
    </w:p>
    <w:p w14:paraId="301EE491" w14:textId="77777777" w:rsidR="00344876" w:rsidRPr="005C0595" w:rsidRDefault="00344876" w:rsidP="005C0595">
      <w:pPr>
        <w:pStyle w:val="ListParagraph"/>
        <w:spacing w:after="0" w:line="240" w:lineRule="auto"/>
        <w:ind w:left="360"/>
        <w:rPr>
          <w:rFonts w:asciiTheme="minorHAnsi" w:hAnsiTheme="minorHAnsi" w:cstheme="minorHAnsi"/>
          <w:color w:val="auto"/>
          <w:sz w:val="24"/>
          <w:szCs w:val="24"/>
        </w:rPr>
      </w:pPr>
    </w:p>
    <w:p w14:paraId="65D7820C" w14:textId="6725C13C" w:rsidR="005866B3" w:rsidRPr="005C0595" w:rsidRDefault="005866B3" w:rsidP="005C0595">
      <w:pPr>
        <w:pStyle w:val="ListParagraph"/>
        <w:numPr>
          <w:ilvl w:val="0"/>
          <w:numId w:val="2"/>
        </w:numPr>
        <w:spacing w:after="0" w:line="240" w:lineRule="auto"/>
        <w:ind w:left="360"/>
        <w:rPr>
          <w:rFonts w:asciiTheme="minorHAnsi" w:hAnsiTheme="minorHAnsi" w:cstheme="minorHAnsi"/>
          <w:color w:val="auto"/>
          <w:sz w:val="24"/>
          <w:szCs w:val="24"/>
        </w:rPr>
      </w:pPr>
      <w:r w:rsidRPr="005C0595">
        <w:rPr>
          <w:rFonts w:asciiTheme="minorHAnsi" w:hAnsiTheme="minorHAnsi" w:cstheme="minorHAnsi"/>
          <w:color w:val="auto"/>
          <w:sz w:val="24"/>
          <w:szCs w:val="24"/>
        </w:rPr>
        <w:t>Member logos included on letters to policymakers</w:t>
      </w:r>
      <w:r w:rsidR="00D70454" w:rsidRPr="005C0595">
        <w:rPr>
          <w:rFonts w:asciiTheme="minorHAnsi" w:hAnsiTheme="minorHAnsi" w:cstheme="minorHAnsi"/>
          <w:color w:val="auto"/>
          <w:sz w:val="24"/>
          <w:szCs w:val="24"/>
        </w:rPr>
        <w:t xml:space="preserve">, </w:t>
      </w:r>
      <w:r w:rsidRPr="005C0595">
        <w:rPr>
          <w:rFonts w:asciiTheme="minorHAnsi" w:hAnsiTheme="minorHAnsi" w:cstheme="minorHAnsi"/>
          <w:color w:val="auto"/>
          <w:sz w:val="24"/>
          <w:szCs w:val="24"/>
        </w:rPr>
        <w:t>press releases (where</w:t>
      </w:r>
    </w:p>
    <w:p w14:paraId="17A4FACD" w14:textId="48A83F5F" w:rsidR="005866B3" w:rsidRDefault="005866B3" w:rsidP="00EA00E0">
      <w:pPr>
        <w:pStyle w:val="ListParagraph"/>
        <w:spacing w:after="0" w:line="240" w:lineRule="auto"/>
        <w:ind w:left="360"/>
        <w:rPr>
          <w:rFonts w:asciiTheme="minorHAnsi" w:hAnsiTheme="minorHAnsi" w:cstheme="minorHAnsi"/>
          <w:color w:val="auto"/>
          <w:sz w:val="24"/>
          <w:szCs w:val="24"/>
        </w:rPr>
      </w:pPr>
      <w:r w:rsidRPr="005C0595">
        <w:rPr>
          <w:rFonts w:asciiTheme="minorHAnsi" w:hAnsiTheme="minorHAnsi" w:cstheme="minorHAnsi"/>
          <w:color w:val="auto"/>
          <w:sz w:val="24"/>
          <w:szCs w:val="24"/>
        </w:rPr>
        <w:t>appropriate)</w:t>
      </w:r>
      <w:r w:rsidR="00D70454" w:rsidRPr="005C0595">
        <w:rPr>
          <w:rFonts w:asciiTheme="minorHAnsi" w:hAnsiTheme="minorHAnsi" w:cstheme="minorHAnsi"/>
          <w:color w:val="auto"/>
          <w:sz w:val="24"/>
          <w:szCs w:val="24"/>
        </w:rPr>
        <w:t xml:space="preserve"> and the GHA’s web page.</w:t>
      </w:r>
    </w:p>
    <w:p w14:paraId="7993EDA9" w14:textId="77777777" w:rsidR="00344876" w:rsidRPr="005C0595" w:rsidRDefault="00344876" w:rsidP="005C0595">
      <w:pPr>
        <w:spacing w:after="0" w:line="240" w:lineRule="auto"/>
        <w:rPr>
          <w:rFonts w:cstheme="minorHAnsi"/>
          <w:sz w:val="24"/>
          <w:szCs w:val="24"/>
        </w:rPr>
      </w:pPr>
    </w:p>
    <w:p w14:paraId="5080131A" w14:textId="0D9B264F" w:rsidR="005866B3" w:rsidRDefault="005866B3" w:rsidP="00EA00E0">
      <w:pPr>
        <w:pStyle w:val="ListParagraph"/>
        <w:numPr>
          <w:ilvl w:val="0"/>
          <w:numId w:val="3"/>
        </w:numPr>
        <w:spacing w:after="0" w:line="240" w:lineRule="auto"/>
        <w:ind w:left="360"/>
        <w:rPr>
          <w:rFonts w:asciiTheme="minorHAnsi" w:hAnsiTheme="minorHAnsi" w:cstheme="minorHAnsi"/>
          <w:sz w:val="24"/>
          <w:szCs w:val="24"/>
        </w:rPr>
      </w:pPr>
      <w:r w:rsidRPr="00CA513C">
        <w:rPr>
          <w:rFonts w:asciiTheme="minorHAnsi" w:hAnsiTheme="minorHAnsi" w:cstheme="minorHAnsi"/>
          <w:color w:val="auto"/>
          <w:sz w:val="24"/>
          <w:szCs w:val="24"/>
        </w:rPr>
        <w:t>Opportunities to attend meetings with policymakers (</w:t>
      </w:r>
      <w:r w:rsidR="00D70454" w:rsidRPr="00CA513C">
        <w:rPr>
          <w:rFonts w:asciiTheme="minorHAnsi" w:hAnsiTheme="minorHAnsi" w:cstheme="minorHAnsi"/>
          <w:color w:val="auto"/>
          <w:sz w:val="24"/>
          <w:szCs w:val="24"/>
        </w:rPr>
        <w:t xml:space="preserve">as appropriate, </w:t>
      </w:r>
      <w:r w:rsidRPr="00CA513C">
        <w:rPr>
          <w:rFonts w:asciiTheme="minorHAnsi" w:hAnsiTheme="minorHAnsi" w:cstheme="minorHAnsi"/>
          <w:color w:val="auto"/>
          <w:sz w:val="24"/>
          <w:szCs w:val="24"/>
        </w:rPr>
        <w:t xml:space="preserve">where </w:t>
      </w:r>
      <w:r w:rsidR="00015351" w:rsidRPr="00CA513C">
        <w:rPr>
          <w:rFonts w:asciiTheme="minorHAnsi" w:hAnsiTheme="minorHAnsi" w:cstheme="minorHAnsi"/>
          <w:color w:val="auto"/>
          <w:sz w:val="24"/>
          <w:szCs w:val="24"/>
        </w:rPr>
        <w:t xml:space="preserve">the </w:t>
      </w:r>
      <w:r w:rsidRPr="00CA513C">
        <w:rPr>
          <w:rFonts w:asciiTheme="minorHAnsi" w:hAnsiTheme="minorHAnsi" w:cstheme="minorHAnsi"/>
          <w:color w:val="auto"/>
          <w:sz w:val="24"/>
          <w:szCs w:val="24"/>
        </w:rPr>
        <w:t>agenda is focused on</w:t>
      </w:r>
      <w:r w:rsidR="00D70454" w:rsidRPr="00CA513C">
        <w:rPr>
          <w:rFonts w:asciiTheme="minorHAnsi" w:hAnsiTheme="minorHAnsi" w:cstheme="minorHAnsi"/>
          <w:color w:val="auto"/>
          <w:sz w:val="24"/>
          <w:szCs w:val="24"/>
        </w:rPr>
        <w:t xml:space="preserve"> a member </w:t>
      </w:r>
      <w:proofErr w:type="spellStart"/>
      <w:r w:rsidR="00D70454" w:rsidRPr="00CA513C">
        <w:rPr>
          <w:rFonts w:asciiTheme="minorHAnsi" w:hAnsiTheme="minorHAnsi" w:cstheme="minorHAnsi"/>
          <w:color w:val="auto"/>
          <w:sz w:val="24"/>
          <w:szCs w:val="24"/>
        </w:rPr>
        <w:t>organisation’s</w:t>
      </w:r>
      <w:proofErr w:type="spellEnd"/>
      <w:r w:rsidR="00D70454" w:rsidRPr="005C0595">
        <w:rPr>
          <w:rFonts w:cstheme="minorHAnsi"/>
          <w:sz w:val="24"/>
          <w:szCs w:val="24"/>
        </w:rPr>
        <w:t xml:space="preserve"> </w:t>
      </w:r>
      <w:r w:rsidRPr="005C0595">
        <w:rPr>
          <w:rFonts w:asciiTheme="minorHAnsi" w:hAnsiTheme="minorHAnsi" w:cstheme="minorHAnsi"/>
          <w:sz w:val="24"/>
          <w:szCs w:val="24"/>
        </w:rPr>
        <w:t>particular area of expertise)</w:t>
      </w:r>
      <w:r w:rsidR="00344876">
        <w:rPr>
          <w:rFonts w:asciiTheme="minorHAnsi" w:hAnsiTheme="minorHAnsi" w:cstheme="minorHAnsi"/>
          <w:sz w:val="24"/>
          <w:szCs w:val="24"/>
        </w:rPr>
        <w:t>.</w:t>
      </w:r>
    </w:p>
    <w:p w14:paraId="60E48D63" w14:textId="77777777" w:rsidR="00344876" w:rsidRPr="005C0595" w:rsidRDefault="00344876" w:rsidP="005C0595">
      <w:pPr>
        <w:pStyle w:val="ListParagraph"/>
        <w:spacing w:after="0" w:line="240" w:lineRule="auto"/>
        <w:ind w:left="360"/>
        <w:rPr>
          <w:rFonts w:asciiTheme="minorHAnsi" w:hAnsiTheme="minorHAnsi" w:cstheme="minorHAnsi"/>
          <w:sz w:val="24"/>
          <w:szCs w:val="24"/>
        </w:rPr>
      </w:pPr>
    </w:p>
    <w:p w14:paraId="5C69AC94" w14:textId="14D98054" w:rsidR="005866B3" w:rsidRDefault="005866B3" w:rsidP="00EA00E0">
      <w:pPr>
        <w:pStyle w:val="ListParagraph"/>
        <w:numPr>
          <w:ilvl w:val="0"/>
          <w:numId w:val="3"/>
        </w:numPr>
        <w:spacing w:after="0" w:line="240" w:lineRule="auto"/>
        <w:ind w:left="360"/>
        <w:rPr>
          <w:rFonts w:asciiTheme="minorHAnsi" w:hAnsiTheme="minorHAnsi" w:cstheme="minorHAnsi"/>
          <w:color w:val="auto"/>
          <w:sz w:val="24"/>
          <w:szCs w:val="24"/>
        </w:rPr>
      </w:pPr>
      <w:r w:rsidRPr="005C0595">
        <w:rPr>
          <w:rFonts w:asciiTheme="minorHAnsi" w:hAnsiTheme="minorHAnsi" w:cstheme="minorHAnsi"/>
          <w:color w:val="auto"/>
          <w:sz w:val="24"/>
          <w:szCs w:val="24"/>
        </w:rPr>
        <w:t>Template consultation responses</w:t>
      </w:r>
      <w:r w:rsidR="00344876">
        <w:rPr>
          <w:rFonts w:asciiTheme="minorHAnsi" w:hAnsiTheme="minorHAnsi" w:cstheme="minorHAnsi"/>
          <w:color w:val="auto"/>
          <w:sz w:val="24"/>
          <w:szCs w:val="24"/>
        </w:rPr>
        <w:t>.</w:t>
      </w:r>
    </w:p>
    <w:p w14:paraId="771CC62B" w14:textId="77777777" w:rsidR="00344876" w:rsidRPr="005C0595" w:rsidRDefault="00344876" w:rsidP="005C0595">
      <w:pPr>
        <w:spacing w:after="0" w:line="240" w:lineRule="auto"/>
        <w:rPr>
          <w:rFonts w:cstheme="minorHAnsi"/>
          <w:sz w:val="24"/>
          <w:szCs w:val="24"/>
        </w:rPr>
      </w:pPr>
    </w:p>
    <w:p w14:paraId="5D0E8554" w14:textId="72E0CCBB" w:rsidR="005866B3" w:rsidRDefault="005866B3" w:rsidP="00EA00E0">
      <w:pPr>
        <w:pStyle w:val="ListParagraph"/>
        <w:numPr>
          <w:ilvl w:val="0"/>
          <w:numId w:val="3"/>
        </w:numPr>
        <w:spacing w:after="0" w:line="240" w:lineRule="auto"/>
        <w:ind w:left="360"/>
        <w:rPr>
          <w:rFonts w:asciiTheme="minorHAnsi" w:hAnsiTheme="minorHAnsi" w:cstheme="minorHAnsi"/>
          <w:color w:val="auto"/>
          <w:sz w:val="24"/>
          <w:szCs w:val="24"/>
        </w:rPr>
      </w:pPr>
      <w:r w:rsidRPr="005C0595">
        <w:rPr>
          <w:rFonts w:asciiTheme="minorHAnsi" w:hAnsiTheme="minorHAnsi" w:cstheme="minorHAnsi"/>
          <w:color w:val="auto"/>
          <w:sz w:val="24"/>
          <w:szCs w:val="24"/>
        </w:rPr>
        <w:t xml:space="preserve">Support and amplification of member </w:t>
      </w:r>
      <w:proofErr w:type="spellStart"/>
      <w:r w:rsidRPr="005C0595">
        <w:rPr>
          <w:rFonts w:asciiTheme="minorHAnsi" w:hAnsiTheme="minorHAnsi" w:cstheme="minorHAnsi"/>
          <w:color w:val="auto"/>
          <w:sz w:val="24"/>
          <w:szCs w:val="24"/>
        </w:rPr>
        <w:t>organisation</w:t>
      </w:r>
      <w:proofErr w:type="spellEnd"/>
      <w:r w:rsidRPr="005C0595">
        <w:rPr>
          <w:rFonts w:asciiTheme="minorHAnsi" w:hAnsiTheme="minorHAnsi" w:cstheme="minorHAnsi"/>
          <w:color w:val="auto"/>
          <w:sz w:val="24"/>
          <w:szCs w:val="24"/>
        </w:rPr>
        <w:t xml:space="preserve"> activity</w:t>
      </w:r>
      <w:r w:rsidR="00344876">
        <w:rPr>
          <w:rFonts w:asciiTheme="minorHAnsi" w:hAnsiTheme="minorHAnsi" w:cstheme="minorHAnsi"/>
          <w:color w:val="auto"/>
          <w:sz w:val="24"/>
          <w:szCs w:val="24"/>
        </w:rPr>
        <w:t>.</w:t>
      </w:r>
    </w:p>
    <w:p w14:paraId="351B1147" w14:textId="77777777" w:rsidR="00344876" w:rsidRPr="005C0595" w:rsidRDefault="00344876" w:rsidP="005C0595">
      <w:pPr>
        <w:spacing w:after="0" w:line="240" w:lineRule="auto"/>
        <w:rPr>
          <w:rFonts w:cstheme="minorHAnsi"/>
          <w:sz w:val="24"/>
          <w:szCs w:val="24"/>
        </w:rPr>
      </w:pPr>
    </w:p>
    <w:p w14:paraId="111DC002" w14:textId="141961B2" w:rsidR="005866B3" w:rsidRPr="00EA00E0" w:rsidRDefault="00200E9E" w:rsidP="00EA00E0">
      <w:pPr>
        <w:pStyle w:val="ListParagraph"/>
        <w:numPr>
          <w:ilvl w:val="0"/>
          <w:numId w:val="3"/>
        </w:numPr>
        <w:spacing w:after="0" w:line="240" w:lineRule="auto"/>
        <w:ind w:left="360"/>
        <w:rPr>
          <w:rFonts w:asciiTheme="minorHAnsi" w:hAnsiTheme="minorHAnsi" w:cstheme="minorHAnsi"/>
          <w:color w:val="auto"/>
          <w:sz w:val="24"/>
          <w:szCs w:val="24"/>
        </w:rPr>
      </w:pPr>
      <w:r>
        <w:rPr>
          <w:rFonts w:asciiTheme="minorHAnsi" w:hAnsiTheme="minorHAnsi" w:cstheme="minorHAnsi"/>
          <w:color w:val="auto"/>
          <w:sz w:val="24"/>
          <w:szCs w:val="24"/>
        </w:rPr>
        <w:t xml:space="preserve">Collaboration </w:t>
      </w:r>
      <w:r w:rsidR="005866B3" w:rsidRPr="005C0595">
        <w:rPr>
          <w:rFonts w:asciiTheme="minorHAnsi" w:hAnsiTheme="minorHAnsi" w:cstheme="minorHAnsi"/>
          <w:color w:val="auto"/>
          <w:sz w:val="24"/>
          <w:szCs w:val="24"/>
        </w:rPr>
        <w:t xml:space="preserve">opportunities between member </w:t>
      </w:r>
      <w:proofErr w:type="spellStart"/>
      <w:r w:rsidR="005866B3" w:rsidRPr="005C0595">
        <w:rPr>
          <w:rFonts w:asciiTheme="minorHAnsi" w:hAnsiTheme="minorHAnsi" w:cstheme="minorHAnsi"/>
          <w:color w:val="auto"/>
          <w:sz w:val="24"/>
          <w:szCs w:val="24"/>
        </w:rPr>
        <w:t>organisations</w:t>
      </w:r>
      <w:proofErr w:type="spellEnd"/>
      <w:r>
        <w:rPr>
          <w:rFonts w:asciiTheme="minorHAnsi" w:hAnsiTheme="minorHAnsi" w:cstheme="minorHAnsi"/>
          <w:color w:val="auto"/>
          <w:sz w:val="24"/>
          <w:szCs w:val="24"/>
        </w:rPr>
        <w:t>.</w:t>
      </w:r>
    </w:p>
    <w:p w14:paraId="3C9AB101" w14:textId="77777777" w:rsidR="00EA00E0" w:rsidRPr="005C0595" w:rsidRDefault="00EA00E0" w:rsidP="005C0595">
      <w:pPr>
        <w:pStyle w:val="ListParagraph"/>
        <w:spacing w:after="0" w:line="240" w:lineRule="auto"/>
        <w:ind w:left="360"/>
        <w:rPr>
          <w:rFonts w:asciiTheme="minorHAnsi" w:hAnsiTheme="minorHAnsi" w:cstheme="minorHAnsi"/>
          <w:color w:val="auto"/>
          <w:sz w:val="24"/>
          <w:szCs w:val="24"/>
        </w:rPr>
      </w:pPr>
    </w:p>
    <w:p w14:paraId="0D769817" w14:textId="77777777" w:rsidR="00344876" w:rsidRPr="005C0595" w:rsidRDefault="00344876" w:rsidP="005C0595">
      <w:pPr>
        <w:spacing w:after="0" w:line="240" w:lineRule="auto"/>
        <w:rPr>
          <w:rFonts w:cstheme="minorHAnsi"/>
          <w:b/>
          <w:bCs/>
          <w:sz w:val="24"/>
          <w:szCs w:val="24"/>
        </w:rPr>
      </w:pPr>
    </w:p>
    <w:p w14:paraId="36E7E6DA" w14:textId="5BE4D3EE" w:rsidR="005866B3" w:rsidRPr="00AE6C7B" w:rsidRDefault="00200E9E">
      <w:pPr>
        <w:spacing w:after="0" w:line="240" w:lineRule="auto"/>
        <w:rPr>
          <w:rFonts w:cstheme="minorHAnsi"/>
          <w:b/>
          <w:bCs/>
          <w:sz w:val="24"/>
          <w:szCs w:val="24"/>
        </w:rPr>
      </w:pPr>
      <w:r w:rsidRPr="005C0595">
        <w:rPr>
          <w:rFonts w:cstheme="minorHAnsi"/>
          <w:b/>
          <w:bCs/>
          <w:sz w:val="24"/>
          <w:szCs w:val="24"/>
        </w:rPr>
        <w:t>Operating costs</w:t>
      </w:r>
    </w:p>
    <w:p w14:paraId="49BF4BC5" w14:textId="77777777" w:rsidR="00EA00E0" w:rsidRPr="005C0595" w:rsidRDefault="00EA00E0" w:rsidP="005C0595">
      <w:pPr>
        <w:spacing w:after="0" w:line="240" w:lineRule="auto"/>
        <w:rPr>
          <w:rFonts w:cstheme="minorHAnsi"/>
          <w:b/>
          <w:sz w:val="24"/>
          <w:szCs w:val="24"/>
        </w:rPr>
      </w:pPr>
    </w:p>
    <w:p w14:paraId="31A0DBEB" w14:textId="370DE91D" w:rsidR="002F7D0A" w:rsidRPr="005C0595" w:rsidRDefault="005866B3" w:rsidP="005C0595">
      <w:pPr>
        <w:spacing w:after="0" w:line="240" w:lineRule="auto"/>
        <w:rPr>
          <w:rFonts w:cstheme="minorHAnsi"/>
          <w:color w:val="000000"/>
          <w:sz w:val="24"/>
          <w:szCs w:val="24"/>
        </w:rPr>
      </w:pPr>
      <w:r w:rsidRPr="005C0595">
        <w:rPr>
          <w:rFonts w:cstheme="minorHAnsi"/>
          <w:sz w:val="24"/>
          <w:szCs w:val="24"/>
        </w:rPr>
        <w:t xml:space="preserve">Member organisations will not be </w:t>
      </w:r>
      <w:r w:rsidR="00EA00E0" w:rsidRPr="005C0595">
        <w:rPr>
          <w:rFonts w:cstheme="minorHAnsi"/>
          <w:sz w:val="24"/>
          <w:szCs w:val="24"/>
        </w:rPr>
        <w:t xml:space="preserve">required </w:t>
      </w:r>
      <w:r w:rsidRPr="005C0595">
        <w:rPr>
          <w:rFonts w:cstheme="minorHAnsi"/>
          <w:sz w:val="24"/>
          <w:szCs w:val="24"/>
        </w:rPr>
        <w:t>to make financial contributions to fund the running costs of the GHA</w:t>
      </w:r>
      <w:r w:rsidR="00EA00E0" w:rsidRPr="005C0595">
        <w:rPr>
          <w:rFonts w:cstheme="minorHAnsi"/>
          <w:sz w:val="24"/>
          <w:szCs w:val="24"/>
        </w:rPr>
        <w:t xml:space="preserve"> but any donations or in-kind contributions would be very welcome and gratefully received and acknowledged.</w:t>
      </w:r>
    </w:p>
    <w:p w14:paraId="76A3F5B0" w14:textId="56097640" w:rsidR="00EA00E0" w:rsidRPr="00EA00E0" w:rsidRDefault="00EA00E0" w:rsidP="005C0595">
      <w:pPr>
        <w:spacing w:after="0" w:line="240" w:lineRule="auto"/>
        <w:rPr>
          <w:rFonts w:cstheme="minorHAnsi"/>
          <w:sz w:val="24"/>
          <w:szCs w:val="24"/>
        </w:rPr>
      </w:pPr>
    </w:p>
    <w:p w14:paraId="5CA7316C" w14:textId="78FCBC6E" w:rsidR="00AE6C7B" w:rsidRDefault="00EA00E0">
      <w:pPr>
        <w:spacing w:after="0" w:line="240" w:lineRule="auto"/>
        <w:rPr>
          <w:rFonts w:cstheme="minorHAnsi"/>
          <w:sz w:val="24"/>
          <w:szCs w:val="24"/>
        </w:rPr>
      </w:pPr>
      <w:r w:rsidRPr="00EA00E0">
        <w:rPr>
          <w:rFonts w:cstheme="minorHAnsi"/>
          <w:sz w:val="24"/>
          <w:szCs w:val="24"/>
        </w:rPr>
        <w:t xml:space="preserve">RSPH is </w:t>
      </w:r>
      <w:r w:rsidR="005D6A36">
        <w:rPr>
          <w:rFonts w:cstheme="minorHAnsi"/>
          <w:sz w:val="24"/>
          <w:szCs w:val="24"/>
        </w:rPr>
        <w:t>funding the secretariat and running costs of the</w:t>
      </w:r>
      <w:r w:rsidRPr="00EA00E0">
        <w:rPr>
          <w:rFonts w:cstheme="minorHAnsi"/>
          <w:sz w:val="24"/>
          <w:szCs w:val="24"/>
        </w:rPr>
        <w:t xml:space="preserve"> GHA using </w:t>
      </w:r>
      <w:r w:rsidR="005D6A36">
        <w:rPr>
          <w:rFonts w:cstheme="minorHAnsi"/>
          <w:sz w:val="24"/>
          <w:szCs w:val="24"/>
        </w:rPr>
        <w:t xml:space="preserve">a grant from </w:t>
      </w:r>
      <w:r w:rsidRPr="00EA00E0">
        <w:rPr>
          <w:rFonts w:cstheme="minorHAnsi"/>
          <w:sz w:val="24"/>
          <w:szCs w:val="24"/>
        </w:rPr>
        <w:t xml:space="preserve">the charity </w:t>
      </w:r>
      <w:proofErr w:type="spellStart"/>
      <w:r w:rsidRPr="00EA00E0">
        <w:rPr>
          <w:rFonts w:cstheme="minorHAnsi"/>
          <w:sz w:val="24"/>
          <w:szCs w:val="24"/>
        </w:rPr>
        <w:t>GambleAware</w:t>
      </w:r>
      <w:proofErr w:type="spellEnd"/>
      <w:r w:rsidRPr="00EA00E0">
        <w:rPr>
          <w:rFonts w:cstheme="minorHAnsi"/>
          <w:sz w:val="24"/>
          <w:szCs w:val="24"/>
        </w:rPr>
        <w:t xml:space="preserve">. The GHA’s work will be determined independently of </w:t>
      </w:r>
      <w:proofErr w:type="spellStart"/>
      <w:r w:rsidRPr="00EA00E0">
        <w:rPr>
          <w:rFonts w:cstheme="minorHAnsi"/>
          <w:sz w:val="24"/>
          <w:szCs w:val="24"/>
        </w:rPr>
        <w:t>GambleAware</w:t>
      </w:r>
      <w:proofErr w:type="spellEnd"/>
      <w:r w:rsidRPr="00EA00E0">
        <w:rPr>
          <w:rFonts w:cstheme="minorHAnsi"/>
          <w:sz w:val="24"/>
          <w:szCs w:val="24"/>
        </w:rPr>
        <w:t xml:space="preserve"> and the charity has not and will not seek to influence the work of the GHA in any way and will not attend its meetings. </w:t>
      </w:r>
    </w:p>
    <w:p w14:paraId="0607AA2B" w14:textId="77777777" w:rsidR="00AE6C7B" w:rsidRDefault="00AE6C7B">
      <w:pPr>
        <w:spacing w:after="0" w:line="240" w:lineRule="auto"/>
        <w:rPr>
          <w:rFonts w:cstheme="minorHAnsi"/>
          <w:sz w:val="24"/>
          <w:szCs w:val="24"/>
        </w:rPr>
      </w:pPr>
    </w:p>
    <w:p w14:paraId="2D94701F" w14:textId="672675F0" w:rsidR="00EA00E0" w:rsidRPr="00EA00E0" w:rsidRDefault="00AE6C7B">
      <w:pPr>
        <w:spacing w:after="0" w:line="240" w:lineRule="auto"/>
        <w:rPr>
          <w:rFonts w:cstheme="minorHAnsi"/>
          <w:sz w:val="24"/>
          <w:szCs w:val="24"/>
        </w:rPr>
      </w:pPr>
      <w:r>
        <w:rPr>
          <w:rFonts w:cstheme="minorHAnsi"/>
          <w:sz w:val="24"/>
          <w:szCs w:val="24"/>
        </w:rPr>
        <w:t xml:space="preserve">The current funding arrangement is scheduled to end in March 2022. </w:t>
      </w:r>
      <w:r w:rsidR="00EA00E0" w:rsidRPr="00EA00E0">
        <w:rPr>
          <w:rFonts w:cstheme="minorHAnsi"/>
          <w:sz w:val="24"/>
          <w:szCs w:val="24"/>
        </w:rPr>
        <w:t xml:space="preserve">RSPH plans to seek additional funding from other organisations which have no links with the gambling industry. </w:t>
      </w:r>
    </w:p>
    <w:p w14:paraId="6E5DA238" w14:textId="77777777" w:rsidR="00EA00E0" w:rsidRPr="005C0595" w:rsidRDefault="00EA00E0" w:rsidP="005C0595">
      <w:pPr>
        <w:spacing w:after="0" w:line="240" w:lineRule="auto"/>
        <w:rPr>
          <w:rFonts w:cstheme="minorHAnsi"/>
          <w:sz w:val="24"/>
          <w:szCs w:val="24"/>
        </w:rPr>
      </w:pPr>
    </w:p>
    <w:sectPr w:rsidR="00EA00E0" w:rsidRPr="005C0595">
      <w:head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A4380" w16cid:durableId="220B4A83"/>
  <w16cid:commentId w16cid:paraId="1EF94625" w16cid:durableId="220B4A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8FE4" w14:textId="77777777" w:rsidR="00FA6F16" w:rsidRDefault="00FA6F16" w:rsidP="005866B3">
      <w:pPr>
        <w:spacing w:after="0" w:line="240" w:lineRule="auto"/>
      </w:pPr>
      <w:r>
        <w:separator/>
      </w:r>
    </w:p>
  </w:endnote>
  <w:endnote w:type="continuationSeparator" w:id="0">
    <w:p w14:paraId="1886417D" w14:textId="77777777" w:rsidR="00FA6F16" w:rsidRDefault="00FA6F16" w:rsidP="0058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4257B" w14:textId="77777777" w:rsidR="00FA6F16" w:rsidRDefault="00FA6F16" w:rsidP="005866B3">
      <w:pPr>
        <w:spacing w:after="0" w:line="240" w:lineRule="auto"/>
      </w:pPr>
      <w:r>
        <w:separator/>
      </w:r>
    </w:p>
  </w:footnote>
  <w:footnote w:type="continuationSeparator" w:id="0">
    <w:p w14:paraId="4E003EA8" w14:textId="77777777" w:rsidR="00FA6F16" w:rsidRDefault="00FA6F16" w:rsidP="0058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F273B" w14:textId="6562E487" w:rsidR="00FA6F16" w:rsidRDefault="00FA6F16" w:rsidP="005C0595">
    <w:pPr>
      <w:pStyle w:val="Header"/>
      <w:jc w:val="center"/>
    </w:pPr>
    <w:r>
      <w:rPr>
        <w:noProof/>
        <w:lang w:eastAsia="en-GB"/>
      </w:rPr>
      <w:drawing>
        <wp:inline distT="0" distB="0" distL="0" distR="0" wp14:anchorId="1DE60A87" wp14:editId="19202464">
          <wp:extent cx="1456707" cy="6910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278" cy="698460"/>
                  </a:xfrm>
                  <a:prstGeom prst="rect">
                    <a:avLst/>
                  </a:prstGeom>
                </pic:spPr>
              </pic:pic>
            </a:graphicData>
          </a:graphic>
        </wp:inline>
      </w:drawing>
    </w:r>
  </w:p>
  <w:p w14:paraId="431F49DE" w14:textId="1690D804" w:rsidR="00FA6F16" w:rsidRDefault="00FA6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10F"/>
    <w:multiLevelType w:val="hybridMultilevel"/>
    <w:tmpl w:val="FB3E3C7C"/>
    <w:lvl w:ilvl="0" w:tplc="4CF85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A654F"/>
    <w:multiLevelType w:val="hybridMultilevel"/>
    <w:tmpl w:val="A2FE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0723D"/>
    <w:multiLevelType w:val="hybridMultilevel"/>
    <w:tmpl w:val="D3F4C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0529CE"/>
    <w:multiLevelType w:val="hybridMultilevel"/>
    <w:tmpl w:val="60680F20"/>
    <w:lvl w:ilvl="0" w:tplc="D7A2E9A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3C0D47"/>
    <w:multiLevelType w:val="hybridMultilevel"/>
    <w:tmpl w:val="314E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B6846"/>
    <w:multiLevelType w:val="hybridMultilevel"/>
    <w:tmpl w:val="30DCD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F02DF"/>
    <w:multiLevelType w:val="hybridMultilevel"/>
    <w:tmpl w:val="ACF82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6876AF"/>
    <w:multiLevelType w:val="hybridMultilevel"/>
    <w:tmpl w:val="0F60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7"/>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3"/>
    <w:rsid w:val="00015351"/>
    <w:rsid w:val="00086D8D"/>
    <w:rsid w:val="00117236"/>
    <w:rsid w:val="001471DD"/>
    <w:rsid w:val="00162CC9"/>
    <w:rsid w:val="0018656B"/>
    <w:rsid w:val="001B1951"/>
    <w:rsid w:val="001D2C5C"/>
    <w:rsid w:val="00200E9E"/>
    <w:rsid w:val="002A2384"/>
    <w:rsid w:val="002A389F"/>
    <w:rsid w:val="002F7D0A"/>
    <w:rsid w:val="003421BF"/>
    <w:rsid w:val="00344876"/>
    <w:rsid w:val="003905DC"/>
    <w:rsid w:val="003C2FD3"/>
    <w:rsid w:val="003E7C8B"/>
    <w:rsid w:val="00490B58"/>
    <w:rsid w:val="005169E9"/>
    <w:rsid w:val="005269A1"/>
    <w:rsid w:val="00565757"/>
    <w:rsid w:val="005866B3"/>
    <w:rsid w:val="005A28C0"/>
    <w:rsid w:val="005A76B8"/>
    <w:rsid w:val="005C0595"/>
    <w:rsid w:val="005D6A36"/>
    <w:rsid w:val="005F03F2"/>
    <w:rsid w:val="00637189"/>
    <w:rsid w:val="006609FC"/>
    <w:rsid w:val="006B393C"/>
    <w:rsid w:val="00725DA2"/>
    <w:rsid w:val="00765480"/>
    <w:rsid w:val="007E57FD"/>
    <w:rsid w:val="00875D15"/>
    <w:rsid w:val="0089298E"/>
    <w:rsid w:val="00906CD4"/>
    <w:rsid w:val="009518EA"/>
    <w:rsid w:val="00956821"/>
    <w:rsid w:val="009A1A1D"/>
    <w:rsid w:val="009B3079"/>
    <w:rsid w:val="00A009AE"/>
    <w:rsid w:val="00A14D0D"/>
    <w:rsid w:val="00A201AE"/>
    <w:rsid w:val="00A217BA"/>
    <w:rsid w:val="00A501A8"/>
    <w:rsid w:val="00A51235"/>
    <w:rsid w:val="00A96639"/>
    <w:rsid w:val="00AE6C7B"/>
    <w:rsid w:val="00B73B82"/>
    <w:rsid w:val="00BF2E40"/>
    <w:rsid w:val="00C57C0A"/>
    <w:rsid w:val="00C74958"/>
    <w:rsid w:val="00CA513C"/>
    <w:rsid w:val="00CC3C9A"/>
    <w:rsid w:val="00CF3E40"/>
    <w:rsid w:val="00D70454"/>
    <w:rsid w:val="00E81E71"/>
    <w:rsid w:val="00EA00E0"/>
    <w:rsid w:val="00F746EA"/>
    <w:rsid w:val="00FA6F16"/>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DE02E5"/>
  <w15:chartTrackingRefBased/>
  <w15:docId w15:val="{ECE876D2-C2B3-4C67-A16F-EE95A925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6B3"/>
    <w:rPr>
      <w:color w:val="0563C1" w:themeColor="hyperlink"/>
      <w:u w:val="single"/>
    </w:rPr>
  </w:style>
  <w:style w:type="paragraph" w:styleId="ListParagraph">
    <w:name w:val="List Paragraph"/>
    <w:basedOn w:val="Normal"/>
    <w:uiPriority w:val="34"/>
    <w:qFormat/>
    <w:rsid w:val="005866B3"/>
    <w:pPr>
      <w:ind w:left="720"/>
      <w:contextualSpacing/>
    </w:pPr>
    <w:rPr>
      <w:rFonts w:ascii="Arial" w:hAnsi="Arial" w:cs="Arial"/>
      <w:color w:val="000000"/>
      <w:lang w:val="en-US"/>
    </w:rPr>
  </w:style>
  <w:style w:type="paragraph" w:styleId="Header">
    <w:name w:val="header"/>
    <w:basedOn w:val="Normal"/>
    <w:link w:val="HeaderChar"/>
    <w:uiPriority w:val="99"/>
    <w:unhideWhenUsed/>
    <w:rsid w:val="00586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B3"/>
  </w:style>
  <w:style w:type="paragraph" w:styleId="Footer">
    <w:name w:val="footer"/>
    <w:basedOn w:val="Normal"/>
    <w:link w:val="FooterChar"/>
    <w:uiPriority w:val="99"/>
    <w:unhideWhenUsed/>
    <w:rsid w:val="00586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B3"/>
  </w:style>
  <w:style w:type="character" w:styleId="CommentReference">
    <w:name w:val="annotation reference"/>
    <w:basedOn w:val="DefaultParagraphFont"/>
    <w:uiPriority w:val="99"/>
    <w:semiHidden/>
    <w:unhideWhenUsed/>
    <w:rsid w:val="00CC3C9A"/>
    <w:rPr>
      <w:sz w:val="16"/>
      <w:szCs w:val="16"/>
    </w:rPr>
  </w:style>
  <w:style w:type="paragraph" w:styleId="CommentText">
    <w:name w:val="annotation text"/>
    <w:basedOn w:val="Normal"/>
    <w:link w:val="CommentTextChar"/>
    <w:uiPriority w:val="99"/>
    <w:semiHidden/>
    <w:unhideWhenUsed/>
    <w:rsid w:val="00CC3C9A"/>
    <w:pPr>
      <w:spacing w:line="240" w:lineRule="auto"/>
    </w:pPr>
    <w:rPr>
      <w:sz w:val="20"/>
      <w:szCs w:val="20"/>
    </w:rPr>
  </w:style>
  <w:style w:type="character" w:customStyle="1" w:styleId="CommentTextChar">
    <w:name w:val="Comment Text Char"/>
    <w:basedOn w:val="DefaultParagraphFont"/>
    <w:link w:val="CommentText"/>
    <w:uiPriority w:val="99"/>
    <w:semiHidden/>
    <w:rsid w:val="00CC3C9A"/>
    <w:rPr>
      <w:sz w:val="20"/>
      <w:szCs w:val="20"/>
    </w:rPr>
  </w:style>
  <w:style w:type="paragraph" w:styleId="CommentSubject">
    <w:name w:val="annotation subject"/>
    <w:basedOn w:val="CommentText"/>
    <w:next w:val="CommentText"/>
    <w:link w:val="CommentSubjectChar"/>
    <w:uiPriority w:val="99"/>
    <w:semiHidden/>
    <w:unhideWhenUsed/>
    <w:rsid w:val="00CC3C9A"/>
    <w:rPr>
      <w:b/>
      <w:bCs/>
    </w:rPr>
  </w:style>
  <w:style w:type="character" w:customStyle="1" w:styleId="CommentSubjectChar">
    <w:name w:val="Comment Subject Char"/>
    <w:basedOn w:val="CommentTextChar"/>
    <w:link w:val="CommentSubject"/>
    <w:uiPriority w:val="99"/>
    <w:semiHidden/>
    <w:rsid w:val="00CC3C9A"/>
    <w:rPr>
      <w:b/>
      <w:bCs/>
      <w:sz w:val="20"/>
      <w:szCs w:val="20"/>
    </w:rPr>
  </w:style>
  <w:style w:type="paragraph" w:styleId="BalloonText">
    <w:name w:val="Balloon Text"/>
    <w:basedOn w:val="Normal"/>
    <w:link w:val="BalloonTextChar"/>
    <w:uiPriority w:val="99"/>
    <w:semiHidden/>
    <w:unhideWhenUsed/>
    <w:rsid w:val="00CC3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7484">
      <w:bodyDiv w:val="1"/>
      <w:marLeft w:val="0"/>
      <w:marRight w:val="0"/>
      <w:marTop w:val="0"/>
      <w:marBottom w:val="0"/>
      <w:divBdr>
        <w:top w:val="none" w:sz="0" w:space="0" w:color="auto"/>
        <w:left w:val="none" w:sz="0" w:space="0" w:color="auto"/>
        <w:bottom w:val="none" w:sz="0" w:space="0" w:color="auto"/>
        <w:right w:val="none" w:sz="0" w:space="0" w:color="auto"/>
      </w:divBdr>
    </w:div>
    <w:div w:id="17521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65899D5E731B408F5596C47056D515" ma:contentTypeVersion="12" ma:contentTypeDescription="Create a new document." ma:contentTypeScope="" ma:versionID="157c796063a847a34c3dd08b399d5f76">
  <xsd:schema xmlns:xsd="http://www.w3.org/2001/XMLSchema" xmlns:xs="http://www.w3.org/2001/XMLSchema" xmlns:p="http://schemas.microsoft.com/office/2006/metadata/properties" xmlns:ns2="fc5e95f2-36e2-41d4-a0ce-9ad94e6cad7c" xmlns:ns3="46910169-948c-47c7-bdc5-895e453e1d32" targetNamespace="http://schemas.microsoft.com/office/2006/metadata/properties" ma:root="true" ma:fieldsID="a2be1a853bd2971d0a224f3f2199bb83" ns2:_="" ns3:_="">
    <xsd:import namespace="fc5e95f2-36e2-41d4-a0ce-9ad94e6cad7c"/>
    <xsd:import namespace="46910169-948c-47c7-bdc5-895e453e1d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e95f2-36e2-41d4-a0ce-9ad94e6cad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910169-948c-47c7-bdc5-895e453e1d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25DDC-DAB1-4204-9E1A-C87527D527AE}">
  <ds:schemaRefs>
    <ds:schemaRef ds:uri="46910169-948c-47c7-bdc5-895e453e1d3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c5e95f2-36e2-41d4-a0ce-9ad94e6cad7c"/>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41D23A-DBDE-46FD-8EF1-B1A180F3E395}">
  <ds:schemaRefs>
    <ds:schemaRef ds:uri="http://schemas.microsoft.com/sharepoint/v3/contenttype/forms"/>
  </ds:schemaRefs>
</ds:datastoreItem>
</file>

<file path=customXml/itemProps3.xml><?xml version="1.0" encoding="utf-8"?>
<ds:datastoreItem xmlns:ds="http://schemas.openxmlformats.org/officeDocument/2006/customXml" ds:itemID="{A4FD2C96-BB4B-47F3-8BAA-AA519552F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e95f2-36e2-41d4-a0ce-9ad94e6cad7c"/>
    <ds:schemaRef ds:uri="46910169-948c-47c7-bdc5-895e453e1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98255-338C-4C31-997C-1FA461F0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McDade</dc:creator>
  <cp:keywords/>
  <dc:description/>
  <cp:lastModifiedBy>Louisa Mason</cp:lastModifiedBy>
  <cp:revision>12</cp:revision>
  <cp:lastPrinted>2019-12-03T09:42:00Z</cp:lastPrinted>
  <dcterms:created xsi:type="dcterms:W3CDTF">2020-11-04T10:05:00Z</dcterms:created>
  <dcterms:modified xsi:type="dcterms:W3CDTF">2020-11-23T14:15:00Z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0x0101007565899D5E731B408F5596C47056D515</vt:lpwstr>
  </property>
</Properties>
</file>