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B0D9E6" w14:textId="12A62DE7" w:rsidR="004F5602" w:rsidRDefault="00A4154A" w:rsidP="00A4154A">
      <w:pPr>
        <w:jc w:val="center"/>
        <w:rPr>
          <w:b/>
          <w:u w:val="single"/>
        </w:rPr>
      </w:pPr>
      <w:r>
        <w:rPr>
          <w:b/>
          <w:u w:val="single"/>
        </w:rPr>
        <w:t>Gambling Health Alliance AGM</w:t>
      </w:r>
      <w:r>
        <w:rPr>
          <w:b/>
          <w:u w:val="single"/>
        </w:rPr>
        <w:br/>
      </w:r>
      <w:r w:rsidR="001D32CF">
        <w:rPr>
          <w:b/>
          <w:u w:val="single"/>
        </w:rPr>
        <w:t>25</w:t>
      </w:r>
      <w:r w:rsidR="00D12FB6">
        <w:rPr>
          <w:b/>
          <w:u w:val="single"/>
        </w:rPr>
        <w:t>th</w:t>
      </w:r>
      <w:r w:rsidR="001D32CF">
        <w:rPr>
          <w:b/>
          <w:u w:val="single"/>
        </w:rPr>
        <w:t xml:space="preserve"> </w:t>
      </w:r>
      <w:r>
        <w:rPr>
          <w:b/>
          <w:u w:val="single"/>
        </w:rPr>
        <w:t>November 2</w:t>
      </w:r>
      <w:r w:rsidR="001D32CF">
        <w:rPr>
          <w:b/>
          <w:u w:val="single"/>
        </w:rPr>
        <w:t>020,</w:t>
      </w:r>
      <w:r>
        <w:rPr>
          <w:b/>
          <w:u w:val="single"/>
        </w:rPr>
        <w:t xml:space="preserve"> 10-11:30am </w:t>
      </w:r>
    </w:p>
    <w:p w14:paraId="774CA2D1" w14:textId="46C938B6" w:rsidR="000F016C" w:rsidRDefault="000F016C" w:rsidP="00C71526">
      <w:pPr>
        <w:rPr>
          <w:b/>
        </w:rPr>
      </w:pPr>
      <w:r>
        <w:rPr>
          <w:b/>
        </w:rPr>
        <w:t>Attendees</w:t>
      </w:r>
    </w:p>
    <w:tbl>
      <w:tblPr>
        <w:tblStyle w:val="TableGrid"/>
        <w:tblW w:w="0" w:type="auto"/>
        <w:tblInd w:w="-5" w:type="dxa"/>
        <w:tblLook w:val="04A0" w:firstRow="1" w:lastRow="0" w:firstColumn="1" w:lastColumn="0" w:noHBand="0" w:noVBand="1"/>
      </w:tblPr>
      <w:tblGrid>
        <w:gridCol w:w="2977"/>
        <w:gridCol w:w="6044"/>
      </w:tblGrid>
      <w:tr w:rsidR="000F016C" w14:paraId="3B06961C" w14:textId="77777777" w:rsidTr="00A116BD">
        <w:tc>
          <w:tcPr>
            <w:tcW w:w="2977" w:type="dxa"/>
          </w:tcPr>
          <w:p w14:paraId="025E6B2D" w14:textId="7BEE8836" w:rsidR="001D32CF" w:rsidRPr="001D32CF" w:rsidRDefault="000F016C" w:rsidP="0077663F">
            <w:pPr>
              <w:rPr>
                <w:b/>
                <w:bCs/>
              </w:rPr>
            </w:pPr>
            <w:r w:rsidRPr="001D32CF">
              <w:rPr>
                <w:b/>
                <w:bCs/>
              </w:rPr>
              <w:t>Name</w:t>
            </w:r>
          </w:p>
        </w:tc>
        <w:tc>
          <w:tcPr>
            <w:tcW w:w="6044" w:type="dxa"/>
          </w:tcPr>
          <w:p w14:paraId="7B4256BD" w14:textId="533C090D" w:rsidR="000F016C" w:rsidRPr="001D32CF" w:rsidRDefault="000F016C" w:rsidP="0077663F">
            <w:pPr>
              <w:rPr>
                <w:b/>
                <w:bCs/>
              </w:rPr>
            </w:pPr>
            <w:r w:rsidRPr="001D32CF">
              <w:rPr>
                <w:b/>
                <w:bCs/>
              </w:rPr>
              <w:t>Organisation</w:t>
            </w:r>
          </w:p>
        </w:tc>
      </w:tr>
      <w:tr w:rsidR="000958EB" w14:paraId="19544C6E" w14:textId="77777777" w:rsidTr="00A116BD">
        <w:tc>
          <w:tcPr>
            <w:tcW w:w="2977" w:type="dxa"/>
          </w:tcPr>
          <w:p w14:paraId="3380C270" w14:textId="10A8384A" w:rsidR="000958EB" w:rsidRPr="001D32CF" w:rsidRDefault="000958EB" w:rsidP="000958EB">
            <w:pPr>
              <w:rPr>
                <w:b/>
                <w:bCs/>
              </w:rPr>
            </w:pPr>
            <w:r>
              <w:t>Aaron Mansfield</w:t>
            </w:r>
          </w:p>
        </w:tc>
        <w:tc>
          <w:tcPr>
            <w:tcW w:w="6044" w:type="dxa"/>
          </w:tcPr>
          <w:p w14:paraId="6DB023A4" w14:textId="20842D60" w:rsidR="000958EB" w:rsidRPr="001D32CF" w:rsidRDefault="000958EB" w:rsidP="000958EB">
            <w:pPr>
              <w:rPr>
                <w:b/>
                <w:bCs/>
              </w:rPr>
            </w:pPr>
            <w:r>
              <w:t>RSPH</w:t>
            </w:r>
          </w:p>
        </w:tc>
      </w:tr>
      <w:tr w:rsidR="000958EB" w14:paraId="1E303029" w14:textId="77777777" w:rsidTr="00A116BD">
        <w:tc>
          <w:tcPr>
            <w:tcW w:w="2977" w:type="dxa"/>
          </w:tcPr>
          <w:p w14:paraId="5534257B" w14:textId="5C30B9EB" w:rsidR="000958EB" w:rsidRDefault="000958EB" w:rsidP="000958EB">
            <w:r>
              <w:t>Agnes Nairn</w:t>
            </w:r>
          </w:p>
        </w:tc>
        <w:tc>
          <w:tcPr>
            <w:tcW w:w="6044" w:type="dxa"/>
          </w:tcPr>
          <w:p w14:paraId="4C8ED28C" w14:textId="54595BB7" w:rsidR="000958EB" w:rsidRDefault="000958EB" w:rsidP="000958EB">
            <w:r>
              <w:t>University of Bristol</w:t>
            </w:r>
          </w:p>
        </w:tc>
      </w:tr>
      <w:tr w:rsidR="000958EB" w14:paraId="205CBB6F" w14:textId="77777777" w:rsidTr="00A116BD">
        <w:tc>
          <w:tcPr>
            <w:tcW w:w="2977" w:type="dxa"/>
          </w:tcPr>
          <w:p w14:paraId="53D5B4DA" w14:textId="77464E6E" w:rsidR="000958EB" w:rsidRDefault="000958EB" w:rsidP="000958EB">
            <w:r>
              <w:t>Alison Mather</w:t>
            </w:r>
          </w:p>
        </w:tc>
        <w:tc>
          <w:tcPr>
            <w:tcW w:w="6044" w:type="dxa"/>
          </w:tcPr>
          <w:p w14:paraId="4887E4AE" w14:textId="4C5D2F40" w:rsidR="000958EB" w:rsidRDefault="000958EB" w:rsidP="000958EB">
            <w:r>
              <w:t>Quaker Action on Alcohol and Drugs</w:t>
            </w:r>
          </w:p>
        </w:tc>
      </w:tr>
      <w:tr w:rsidR="000958EB" w14:paraId="6DC3E650" w14:textId="77777777" w:rsidTr="00A116BD">
        <w:tc>
          <w:tcPr>
            <w:tcW w:w="2977" w:type="dxa"/>
          </w:tcPr>
          <w:p w14:paraId="13D68D56" w14:textId="2F027856" w:rsidR="000958EB" w:rsidRDefault="000958EB" w:rsidP="000958EB">
            <w:r>
              <w:t>Anna Niemczewski</w:t>
            </w:r>
          </w:p>
        </w:tc>
        <w:tc>
          <w:tcPr>
            <w:tcW w:w="6044" w:type="dxa"/>
          </w:tcPr>
          <w:p w14:paraId="28F8D9AF" w14:textId="0CCF4FFD" w:rsidR="000958EB" w:rsidRDefault="000958EB" w:rsidP="000958EB">
            <w:r>
              <w:t>BetKnowMore</w:t>
            </w:r>
          </w:p>
        </w:tc>
      </w:tr>
      <w:tr w:rsidR="00D82823" w14:paraId="5989B45B" w14:textId="77777777" w:rsidTr="00A116BD">
        <w:tc>
          <w:tcPr>
            <w:tcW w:w="2977" w:type="dxa"/>
          </w:tcPr>
          <w:p w14:paraId="69E55FCE" w14:textId="26BC0E77" w:rsidR="00D82823" w:rsidRDefault="00D82823" w:rsidP="00D82823">
            <w:r>
              <w:t>Chris Webster</w:t>
            </w:r>
          </w:p>
        </w:tc>
        <w:tc>
          <w:tcPr>
            <w:tcW w:w="6044" w:type="dxa"/>
          </w:tcPr>
          <w:p w14:paraId="1F995CCC" w14:textId="1783AAEC" w:rsidR="00D82823" w:rsidRDefault="00D82823" w:rsidP="00D82823">
            <w:r>
              <w:t>Citizens Advice North Oxfordshire</w:t>
            </w:r>
          </w:p>
        </w:tc>
      </w:tr>
      <w:tr w:rsidR="00D82823" w14:paraId="6697E47D" w14:textId="77777777" w:rsidTr="00A116BD">
        <w:tc>
          <w:tcPr>
            <w:tcW w:w="2977" w:type="dxa"/>
          </w:tcPr>
          <w:p w14:paraId="5CD11306" w14:textId="792DB45F" w:rsidR="00D82823" w:rsidRDefault="00D82823" w:rsidP="00D82823">
            <w:r>
              <w:t>Duncan Stephenson</w:t>
            </w:r>
          </w:p>
        </w:tc>
        <w:tc>
          <w:tcPr>
            <w:tcW w:w="6044" w:type="dxa"/>
          </w:tcPr>
          <w:p w14:paraId="5BD3C776" w14:textId="696DA19C" w:rsidR="00D82823" w:rsidRDefault="00D82823" w:rsidP="00D82823">
            <w:r>
              <w:t>RSPH (GHA Chair)</w:t>
            </w:r>
          </w:p>
        </w:tc>
      </w:tr>
      <w:tr w:rsidR="00D82823" w14:paraId="37E56852" w14:textId="77777777" w:rsidTr="00A116BD">
        <w:tc>
          <w:tcPr>
            <w:tcW w:w="2977" w:type="dxa"/>
          </w:tcPr>
          <w:p w14:paraId="0482CE31" w14:textId="6FC0EA10" w:rsidR="00D82823" w:rsidRDefault="00D82823" w:rsidP="00D82823">
            <w:r>
              <w:t>Emily Williams</w:t>
            </w:r>
          </w:p>
        </w:tc>
        <w:tc>
          <w:tcPr>
            <w:tcW w:w="6044" w:type="dxa"/>
          </w:tcPr>
          <w:p w14:paraId="292CD49E" w14:textId="56E04B04" w:rsidR="00D82823" w:rsidRDefault="00D82823" w:rsidP="00D82823">
            <w:r>
              <w:t xml:space="preserve">White Ribbon Association </w:t>
            </w:r>
          </w:p>
        </w:tc>
      </w:tr>
      <w:tr w:rsidR="00D82823" w14:paraId="382CDFB3" w14:textId="77777777" w:rsidTr="00A116BD">
        <w:tc>
          <w:tcPr>
            <w:tcW w:w="2977" w:type="dxa"/>
          </w:tcPr>
          <w:p w14:paraId="48C1255B" w14:textId="034170BE" w:rsidR="00D82823" w:rsidRDefault="00D82823" w:rsidP="00D82823">
            <w:r>
              <w:t>Emma Ryan</w:t>
            </w:r>
          </w:p>
        </w:tc>
        <w:tc>
          <w:tcPr>
            <w:tcW w:w="6044" w:type="dxa"/>
          </w:tcPr>
          <w:p w14:paraId="34C301E8" w14:textId="008EE39F" w:rsidR="00D82823" w:rsidRDefault="00D82823" w:rsidP="00D82823">
            <w:r>
              <w:t>Primary Care Gambling Service</w:t>
            </w:r>
          </w:p>
        </w:tc>
      </w:tr>
      <w:tr w:rsidR="00D82823" w14:paraId="7C7AF54B" w14:textId="77777777" w:rsidTr="00A116BD">
        <w:tc>
          <w:tcPr>
            <w:tcW w:w="2977" w:type="dxa"/>
          </w:tcPr>
          <w:p w14:paraId="6F7F8C2B" w14:textId="30095B9D" w:rsidR="00D82823" w:rsidRDefault="00D82823" w:rsidP="00D82823">
            <w:r>
              <w:t>Florence Gildea</w:t>
            </w:r>
          </w:p>
        </w:tc>
        <w:tc>
          <w:tcPr>
            <w:tcW w:w="6044" w:type="dxa"/>
          </w:tcPr>
          <w:p w14:paraId="0B3146EF" w14:textId="720C6FA6" w:rsidR="00D82823" w:rsidRDefault="00D82823" w:rsidP="00D82823">
            <w:r>
              <w:t>RSPH</w:t>
            </w:r>
          </w:p>
        </w:tc>
      </w:tr>
      <w:tr w:rsidR="00D82823" w14:paraId="29618EF1" w14:textId="77777777" w:rsidTr="00A116BD">
        <w:tc>
          <w:tcPr>
            <w:tcW w:w="2977" w:type="dxa"/>
          </w:tcPr>
          <w:p w14:paraId="73905A3C" w14:textId="4707CB1B" w:rsidR="00D82823" w:rsidRDefault="00D82823" w:rsidP="00D82823">
            <w:r>
              <w:t>Gavin McColl</w:t>
            </w:r>
          </w:p>
        </w:tc>
        <w:tc>
          <w:tcPr>
            <w:tcW w:w="6044" w:type="dxa"/>
          </w:tcPr>
          <w:p w14:paraId="03E2A85C" w14:textId="1107B1FD" w:rsidR="00D82823" w:rsidRDefault="00D82823" w:rsidP="00D82823">
            <w:r>
              <w:t>Primary Care Gambling Service</w:t>
            </w:r>
          </w:p>
        </w:tc>
      </w:tr>
      <w:tr w:rsidR="00D82823" w14:paraId="128E3A13" w14:textId="77777777" w:rsidTr="00A116BD">
        <w:tc>
          <w:tcPr>
            <w:tcW w:w="2977" w:type="dxa"/>
          </w:tcPr>
          <w:p w14:paraId="6BD6E702" w14:textId="20F14113" w:rsidR="00D82823" w:rsidRDefault="00D82823" w:rsidP="00D82823">
            <w:r>
              <w:t>Graham England</w:t>
            </w:r>
          </w:p>
        </w:tc>
        <w:tc>
          <w:tcPr>
            <w:tcW w:w="6044" w:type="dxa"/>
          </w:tcPr>
          <w:p w14:paraId="2E6923C6" w14:textId="625A2807" w:rsidR="00D82823" w:rsidRDefault="00D82823" w:rsidP="00D82823">
            <w:r>
              <w:t>Addiction Recovery Agency</w:t>
            </w:r>
          </w:p>
        </w:tc>
      </w:tr>
      <w:tr w:rsidR="00D82823" w14:paraId="4AF4CB7D" w14:textId="77777777" w:rsidTr="00A116BD">
        <w:tc>
          <w:tcPr>
            <w:tcW w:w="2977" w:type="dxa"/>
          </w:tcPr>
          <w:p w14:paraId="1DD92ED9" w14:textId="1F9184C9" w:rsidR="00D82823" w:rsidRDefault="00D82823" w:rsidP="00D82823">
            <w:r>
              <w:t>James Close</w:t>
            </w:r>
          </w:p>
        </w:tc>
        <w:tc>
          <w:tcPr>
            <w:tcW w:w="6044" w:type="dxa"/>
          </w:tcPr>
          <w:p w14:paraId="2FE6F940" w14:textId="2C9FD3E9" w:rsidR="00D82823" w:rsidRDefault="00D82823" w:rsidP="00D82823">
            <w:r>
              <w:t>University pf Plymouth</w:t>
            </w:r>
          </w:p>
        </w:tc>
      </w:tr>
      <w:tr w:rsidR="00D82823" w14:paraId="4BDEC4D5" w14:textId="77777777" w:rsidTr="00A116BD">
        <w:tc>
          <w:tcPr>
            <w:tcW w:w="2977" w:type="dxa"/>
          </w:tcPr>
          <w:p w14:paraId="65686860" w14:textId="08E0485B" w:rsidR="00D82823" w:rsidRDefault="00D82823" w:rsidP="00D82823">
            <w:r>
              <w:t>Jan Stewart</w:t>
            </w:r>
          </w:p>
        </w:tc>
        <w:tc>
          <w:tcPr>
            <w:tcW w:w="6044" w:type="dxa"/>
          </w:tcPr>
          <w:p w14:paraId="71790C6E" w14:textId="1F448ECC" w:rsidR="00D82823" w:rsidRDefault="00D82823" w:rsidP="00D82823">
            <w:r>
              <w:t>Citizens Advice Hampshire</w:t>
            </w:r>
          </w:p>
        </w:tc>
      </w:tr>
      <w:tr w:rsidR="00D82823" w14:paraId="27F621EC" w14:textId="77777777" w:rsidTr="00A116BD">
        <w:tc>
          <w:tcPr>
            <w:tcW w:w="2977" w:type="dxa"/>
          </w:tcPr>
          <w:p w14:paraId="28A24376" w14:textId="4747E6C7" w:rsidR="00D82823" w:rsidRDefault="00D82823" w:rsidP="00D82823">
            <w:r>
              <w:t>Jo Evans</w:t>
            </w:r>
          </w:p>
        </w:tc>
        <w:tc>
          <w:tcPr>
            <w:tcW w:w="6044" w:type="dxa"/>
          </w:tcPr>
          <w:p w14:paraId="7402BC13" w14:textId="2C6D43CD" w:rsidR="00D82823" w:rsidRDefault="00D82823" w:rsidP="00D82823">
            <w:r>
              <w:t>Greater Manchester Combined Authority</w:t>
            </w:r>
          </w:p>
        </w:tc>
      </w:tr>
      <w:tr w:rsidR="00D82823" w14:paraId="4D9DBDA0" w14:textId="77777777" w:rsidTr="00A116BD">
        <w:tc>
          <w:tcPr>
            <w:tcW w:w="2977" w:type="dxa"/>
          </w:tcPr>
          <w:p w14:paraId="2BECA5E6" w14:textId="754271C8" w:rsidR="00D82823" w:rsidRDefault="00D82823" w:rsidP="00D82823">
            <w:r>
              <w:t>Jono Baggaley</w:t>
            </w:r>
          </w:p>
        </w:tc>
        <w:tc>
          <w:tcPr>
            <w:tcW w:w="6044" w:type="dxa"/>
          </w:tcPr>
          <w:p w14:paraId="30A5398E" w14:textId="178474E5" w:rsidR="00D82823" w:rsidRDefault="00D82823" w:rsidP="00D82823">
            <w:r>
              <w:t>PSHE Association</w:t>
            </w:r>
          </w:p>
        </w:tc>
      </w:tr>
      <w:tr w:rsidR="00D82823" w14:paraId="325F2911" w14:textId="77777777" w:rsidTr="00A116BD">
        <w:tc>
          <w:tcPr>
            <w:tcW w:w="2977" w:type="dxa"/>
          </w:tcPr>
          <w:p w14:paraId="35345892" w14:textId="62CACDD1" w:rsidR="00D82823" w:rsidRDefault="00D82823" w:rsidP="00D82823">
            <w:r>
              <w:t>Katie Fry</w:t>
            </w:r>
          </w:p>
        </w:tc>
        <w:tc>
          <w:tcPr>
            <w:tcW w:w="6044" w:type="dxa"/>
          </w:tcPr>
          <w:p w14:paraId="3436B8E0" w14:textId="1946A5E4" w:rsidR="00D82823" w:rsidRDefault="00D82823" w:rsidP="00D82823">
            <w:r>
              <w:t>Citizens Advice</w:t>
            </w:r>
          </w:p>
        </w:tc>
      </w:tr>
      <w:tr w:rsidR="00A36581" w14:paraId="23F85A0E" w14:textId="77777777" w:rsidTr="00A116BD">
        <w:tc>
          <w:tcPr>
            <w:tcW w:w="2977" w:type="dxa"/>
          </w:tcPr>
          <w:p w14:paraId="344C4679" w14:textId="46C6D4B4" w:rsidR="00A36581" w:rsidRDefault="00A36581" w:rsidP="00A36581">
            <w:r>
              <w:t>Keith Lewis</w:t>
            </w:r>
          </w:p>
        </w:tc>
        <w:tc>
          <w:tcPr>
            <w:tcW w:w="6044" w:type="dxa"/>
          </w:tcPr>
          <w:p w14:paraId="6D384D3F" w14:textId="54DAC6F8" w:rsidR="00A36581" w:rsidRDefault="00A36581" w:rsidP="00A36581">
            <w:r>
              <w:t>Unite the Union</w:t>
            </w:r>
          </w:p>
        </w:tc>
      </w:tr>
      <w:tr w:rsidR="00A36581" w14:paraId="086FD3EF" w14:textId="77777777" w:rsidTr="00A116BD">
        <w:tc>
          <w:tcPr>
            <w:tcW w:w="2977" w:type="dxa"/>
          </w:tcPr>
          <w:p w14:paraId="548A8BC0" w14:textId="1826C820" w:rsidR="00A36581" w:rsidRDefault="00A36581" w:rsidP="00A36581">
            <w:r>
              <w:t>Lee Willows</w:t>
            </w:r>
          </w:p>
        </w:tc>
        <w:tc>
          <w:tcPr>
            <w:tcW w:w="6044" w:type="dxa"/>
          </w:tcPr>
          <w:p w14:paraId="622033CB" w14:textId="22D8368A" w:rsidR="00A36581" w:rsidRDefault="00A36581" w:rsidP="00A36581">
            <w:r>
              <w:t>YGAM</w:t>
            </w:r>
          </w:p>
        </w:tc>
      </w:tr>
      <w:tr w:rsidR="00A36581" w14:paraId="4C2516E0" w14:textId="77777777" w:rsidTr="00A116BD">
        <w:tc>
          <w:tcPr>
            <w:tcW w:w="2977" w:type="dxa"/>
          </w:tcPr>
          <w:p w14:paraId="7CC8D8E0" w14:textId="1FF0A965" w:rsidR="00A36581" w:rsidRDefault="00A36581" w:rsidP="00A36581">
            <w:r>
              <w:t>Louisa Mason</w:t>
            </w:r>
          </w:p>
        </w:tc>
        <w:tc>
          <w:tcPr>
            <w:tcW w:w="6044" w:type="dxa"/>
          </w:tcPr>
          <w:p w14:paraId="4034FEF0" w14:textId="252B2E76" w:rsidR="00A36581" w:rsidRDefault="00A36581" w:rsidP="00A36581">
            <w:r>
              <w:t>RSPH (GHA Lead)</w:t>
            </w:r>
          </w:p>
        </w:tc>
      </w:tr>
      <w:tr w:rsidR="00A36581" w14:paraId="50B38B9B" w14:textId="77777777" w:rsidTr="00A116BD">
        <w:tc>
          <w:tcPr>
            <w:tcW w:w="2977" w:type="dxa"/>
          </w:tcPr>
          <w:p w14:paraId="7E1B0886" w14:textId="73E4E4DC" w:rsidR="00A36581" w:rsidRDefault="00A36581" w:rsidP="00A36581">
            <w:r>
              <w:t>Maeve Walsh</w:t>
            </w:r>
          </w:p>
        </w:tc>
        <w:tc>
          <w:tcPr>
            <w:tcW w:w="6044" w:type="dxa"/>
          </w:tcPr>
          <w:p w14:paraId="6E23063F" w14:textId="2F2CC622" w:rsidR="00A36581" w:rsidRDefault="00A36581" w:rsidP="00A36581">
            <w:r>
              <w:t>Carnegie UK</w:t>
            </w:r>
          </w:p>
        </w:tc>
      </w:tr>
      <w:tr w:rsidR="00A36581" w14:paraId="34285D7C" w14:textId="77777777" w:rsidTr="00A116BD">
        <w:tc>
          <w:tcPr>
            <w:tcW w:w="2977" w:type="dxa"/>
          </w:tcPr>
          <w:p w14:paraId="665391E4" w14:textId="3DD07220" w:rsidR="00A36581" w:rsidRDefault="00A36581" w:rsidP="00A36581">
            <w:r>
              <w:t>Matthew Hickey</w:t>
            </w:r>
          </w:p>
        </w:tc>
        <w:tc>
          <w:tcPr>
            <w:tcW w:w="6044" w:type="dxa"/>
          </w:tcPr>
          <w:p w14:paraId="2F10D782" w14:textId="00B710F7" w:rsidR="00A36581" w:rsidRDefault="00A36581" w:rsidP="00A36581">
            <w:r>
              <w:t>Gordon Moody Association</w:t>
            </w:r>
          </w:p>
        </w:tc>
      </w:tr>
      <w:tr w:rsidR="00A36581" w14:paraId="774862A1" w14:textId="77777777" w:rsidTr="00A116BD">
        <w:tc>
          <w:tcPr>
            <w:tcW w:w="2977" w:type="dxa"/>
          </w:tcPr>
          <w:p w14:paraId="72E0D07A" w14:textId="5ED4540D" w:rsidR="00A36581" w:rsidRDefault="00A36581" w:rsidP="00A36581">
            <w:r>
              <w:t>Matthew Philpott</w:t>
            </w:r>
          </w:p>
        </w:tc>
        <w:tc>
          <w:tcPr>
            <w:tcW w:w="6044" w:type="dxa"/>
          </w:tcPr>
          <w:p w14:paraId="35AADF61" w14:textId="12A96159" w:rsidR="00A36581" w:rsidRDefault="00A36581" w:rsidP="00A36581">
            <w:r>
              <w:t>Healthy Stadia</w:t>
            </w:r>
          </w:p>
        </w:tc>
      </w:tr>
      <w:tr w:rsidR="00A36581" w14:paraId="269FD55D" w14:textId="77777777" w:rsidTr="00A116BD">
        <w:tc>
          <w:tcPr>
            <w:tcW w:w="2977" w:type="dxa"/>
          </w:tcPr>
          <w:p w14:paraId="03E27BD6" w14:textId="4AC7CF38" w:rsidR="00A36581" w:rsidRDefault="00A36581" w:rsidP="00A36581">
            <w:r>
              <w:t>Matt Zarb-Cousin</w:t>
            </w:r>
          </w:p>
        </w:tc>
        <w:tc>
          <w:tcPr>
            <w:tcW w:w="6044" w:type="dxa"/>
          </w:tcPr>
          <w:p w14:paraId="22B576EB" w14:textId="6E65747A" w:rsidR="00A36581" w:rsidRDefault="00A36581" w:rsidP="00A36581">
            <w:r>
              <w:t>Clean Up Gambling</w:t>
            </w:r>
          </w:p>
        </w:tc>
      </w:tr>
      <w:tr w:rsidR="00A36581" w14:paraId="658261CE" w14:textId="77777777" w:rsidTr="00A116BD">
        <w:tc>
          <w:tcPr>
            <w:tcW w:w="2977" w:type="dxa"/>
          </w:tcPr>
          <w:p w14:paraId="4D75B22E" w14:textId="1BD29222" w:rsidR="00A36581" w:rsidRDefault="00A36581" w:rsidP="00A36581">
            <w:r>
              <w:t>Meagan Levin</w:t>
            </w:r>
          </w:p>
        </w:tc>
        <w:tc>
          <w:tcPr>
            <w:tcW w:w="6044" w:type="dxa"/>
          </w:tcPr>
          <w:p w14:paraId="37417716" w14:textId="783CEA5B" w:rsidR="00A36581" w:rsidRDefault="00A36581" w:rsidP="00A36581">
            <w:r>
              <w:t>Royal British Legion</w:t>
            </w:r>
          </w:p>
        </w:tc>
      </w:tr>
      <w:tr w:rsidR="00A36581" w14:paraId="7AE2BD7B" w14:textId="77777777" w:rsidTr="00A116BD">
        <w:tc>
          <w:tcPr>
            <w:tcW w:w="2977" w:type="dxa"/>
          </w:tcPr>
          <w:p w14:paraId="20A44B4F" w14:textId="5D0C1247" w:rsidR="00A36581" w:rsidRDefault="00A36581" w:rsidP="00A36581">
            <w:r>
              <w:t>Myrte Elbers</w:t>
            </w:r>
          </w:p>
        </w:tc>
        <w:tc>
          <w:tcPr>
            <w:tcW w:w="6044" w:type="dxa"/>
          </w:tcPr>
          <w:p w14:paraId="59E9D6D0" w14:textId="3326271A" w:rsidR="00A36581" w:rsidRDefault="00A36581" w:rsidP="00A36581">
            <w:r>
              <w:t>Leeds City Council</w:t>
            </w:r>
          </w:p>
        </w:tc>
      </w:tr>
      <w:tr w:rsidR="00A36581" w14:paraId="3F0DC2B0" w14:textId="77777777" w:rsidTr="00A116BD">
        <w:tc>
          <w:tcPr>
            <w:tcW w:w="2977" w:type="dxa"/>
          </w:tcPr>
          <w:p w14:paraId="579B86ED" w14:textId="39757DCC" w:rsidR="00A36581" w:rsidRDefault="00A36581" w:rsidP="00A36581">
            <w:r>
              <w:t>Neil Platt</w:t>
            </w:r>
          </w:p>
        </w:tc>
        <w:tc>
          <w:tcPr>
            <w:tcW w:w="6044" w:type="dxa"/>
          </w:tcPr>
          <w:p w14:paraId="04940EF0" w14:textId="6B67CDD4" w:rsidR="00A36581" w:rsidRDefault="00A36581" w:rsidP="00A36581">
            <w:r>
              <w:t>Beacon Counselling Trust</w:t>
            </w:r>
          </w:p>
        </w:tc>
      </w:tr>
      <w:tr w:rsidR="008C0D77" w14:paraId="2818F59F" w14:textId="77777777" w:rsidTr="00A116BD">
        <w:tc>
          <w:tcPr>
            <w:tcW w:w="2977" w:type="dxa"/>
          </w:tcPr>
          <w:p w14:paraId="073E1933" w14:textId="7768A43C" w:rsidR="008C0D77" w:rsidRDefault="008C0D77" w:rsidP="008C0D77">
            <w:r>
              <w:t>Peter Baker</w:t>
            </w:r>
          </w:p>
        </w:tc>
        <w:tc>
          <w:tcPr>
            <w:tcW w:w="6044" w:type="dxa"/>
          </w:tcPr>
          <w:p w14:paraId="74597CE3" w14:textId="14BE52F5" w:rsidR="008C0D77" w:rsidRDefault="008C0D77" w:rsidP="008C0D77">
            <w:r>
              <w:t>Consultant to RSPH/GHA</w:t>
            </w:r>
          </w:p>
        </w:tc>
      </w:tr>
      <w:tr w:rsidR="008C0D77" w14:paraId="0DCA9888" w14:textId="77777777" w:rsidTr="00A116BD">
        <w:tc>
          <w:tcPr>
            <w:tcW w:w="2977" w:type="dxa"/>
          </w:tcPr>
          <w:p w14:paraId="79C7F212" w14:textId="581F7A9B" w:rsidR="008C0D77" w:rsidRDefault="008C0D77" w:rsidP="008C0D77">
            <w:r>
              <w:t>Robin Pollard</w:t>
            </w:r>
          </w:p>
        </w:tc>
        <w:tc>
          <w:tcPr>
            <w:tcW w:w="6044" w:type="dxa"/>
          </w:tcPr>
          <w:p w14:paraId="069E9BC5" w14:textId="4AAF634D" w:rsidR="008C0D77" w:rsidRDefault="008C0D77" w:rsidP="008C0D77">
            <w:r>
              <w:t>We Are With You</w:t>
            </w:r>
          </w:p>
        </w:tc>
      </w:tr>
      <w:tr w:rsidR="008C0D77" w14:paraId="22620A10" w14:textId="77777777" w:rsidTr="00A116BD">
        <w:tc>
          <w:tcPr>
            <w:tcW w:w="2977" w:type="dxa"/>
          </w:tcPr>
          <w:p w14:paraId="3C8C58F4" w14:textId="4D9803C3" w:rsidR="008C0D77" w:rsidRDefault="008C0D77" w:rsidP="008C0D77">
            <w:r>
              <w:t>Scott Crosby</w:t>
            </w:r>
          </w:p>
        </w:tc>
        <w:tc>
          <w:tcPr>
            <w:tcW w:w="6044" w:type="dxa"/>
          </w:tcPr>
          <w:p w14:paraId="6F3D6BEB" w14:textId="5BD53478" w:rsidR="008C0D77" w:rsidRDefault="008C0D77" w:rsidP="008C0D77">
            <w:r>
              <w:t>Association of the Directors of Public Health – Yorkshire and the Humber</w:t>
            </w:r>
          </w:p>
        </w:tc>
      </w:tr>
      <w:tr w:rsidR="008C0D77" w14:paraId="357397BB" w14:textId="77777777" w:rsidTr="00A116BD">
        <w:tc>
          <w:tcPr>
            <w:tcW w:w="2977" w:type="dxa"/>
          </w:tcPr>
          <w:p w14:paraId="78D005FD" w14:textId="74E88CB5" w:rsidR="008C0D77" w:rsidRDefault="008C0D77" w:rsidP="008C0D77">
            <w:r>
              <w:t>Simon Watts</w:t>
            </w:r>
          </w:p>
        </w:tc>
        <w:tc>
          <w:tcPr>
            <w:tcW w:w="6044" w:type="dxa"/>
          </w:tcPr>
          <w:p w14:paraId="5F82BC03" w14:textId="186AF3A4" w:rsidR="008C0D77" w:rsidRDefault="008C0D77" w:rsidP="008C0D77">
            <w:r>
              <w:t xml:space="preserve">NHS Specialist Registrar </w:t>
            </w:r>
          </w:p>
        </w:tc>
      </w:tr>
      <w:tr w:rsidR="008C0D77" w14:paraId="05F0A28C" w14:textId="77777777" w:rsidTr="00A116BD">
        <w:tc>
          <w:tcPr>
            <w:tcW w:w="2977" w:type="dxa"/>
          </w:tcPr>
          <w:p w14:paraId="06B98DE9" w14:textId="5A982E10" w:rsidR="008C0D77" w:rsidRDefault="008C0D77" w:rsidP="008C0D77">
            <w:r>
              <w:t>Tim Bradshaw</w:t>
            </w:r>
          </w:p>
        </w:tc>
        <w:tc>
          <w:tcPr>
            <w:tcW w:w="6044" w:type="dxa"/>
          </w:tcPr>
          <w:p w14:paraId="1785E00A" w14:textId="307B7A80" w:rsidR="008C0D77" w:rsidRDefault="008C0D77" w:rsidP="008C0D77">
            <w:r>
              <w:t>YGAM</w:t>
            </w:r>
          </w:p>
        </w:tc>
      </w:tr>
      <w:tr w:rsidR="008C0D77" w14:paraId="25161370" w14:textId="77777777" w:rsidTr="00A116BD">
        <w:tc>
          <w:tcPr>
            <w:tcW w:w="2977" w:type="dxa"/>
          </w:tcPr>
          <w:p w14:paraId="0B4FE03C" w14:textId="3A8F76DD" w:rsidR="008C0D77" w:rsidRDefault="008C0D77" w:rsidP="008C0D77">
            <w:r>
              <w:t>Tracey Kilbane</w:t>
            </w:r>
          </w:p>
        </w:tc>
        <w:tc>
          <w:tcPr>
            <w:tcW w:w="6044" w:type="dxa"/>
          </w:tcPr>
          <w:p w14:paraId="125A164C" w14:textId="2CCFC5A4" w:rsidR="008C0D77" w:rsidRDefault="008C0D77" w:rsidP="008C0D77">
            <w:r>
              <w:t>Medway Council</w:t>
            </w:r>
          </w:p>
        </w:tc>
      </w:tr>
      <w:tr w:rsidR="008C0D77" w14:paraId="70A7F091" w14:textId="77777777" w:rsidTr="00A116BD">
        <w:tc>
          <w:tcPr>
            <w:tcW w:w="2977" w:type="dxa"/>
          </w:tcPr>
          <w:p w14:paraId="5AF48182" w14:textId="544BA15C" w:rsidR="008C0D77" w:rsidRDefault="008C0D77" w:rsidP="008C0D77">
            <w:r>
              <w:t>Victoria Sharman</w:t>
            </w:r>
          </w:p>
        </w:tc>
        <w:tc>
          <w:tcPr>
            <w:tcW w:w="6044" w:type="dxa"/>
          </w:tcPr>
          <w:p w14:paraId="71193F8D" w14:textId="747A17CB" w:rsidR="008C0D77" w:rsidRDefault="008C0D77" w:rsidP="008C0D77">
            <w:r>
              <w:t>Royal College of Nursing</w:t>
            </w:r>
          </w:p>
        </w:tc>
      </w:tr>
      <w:tr w:rsidR="008C0D77" w14:paraId="015227BA" w14:textId="77777777" w:rsidTr="00A116BD">
        <w:tc>
          <w:tcPr>
            <w:tcW w:w="2977" w:type="dxa"/>
          </w:tcPr>
          <w:p w14:paraId="75C4DDB0" w14:textId="0A26EDA9" w:rsidR="008C0D77" w:rsidRDefault="008C0D77" w:rsidP="008C0D77">
            <w:r>
              <w:t>Victoria Taylor-Smith</w:t>
            </w:r>
          </w:p>
        </w:tc>
        <w:tc>
          <w:tcPr>
            <w:tcW w:w="6044" w:type="dxa"/>
          </w:tcPr>
          <w:p w14:paraId="1C79A240" w14:textId="1278348E" w:rsidR="008C0D77" w:rsidRDefault="008C0D77" w:rsidP="008C0D77">
            <w:r>
              <w:t>White Ribbon Association</w:t>
            </w:r>
          </w:p>
        </w:tc>
      </w:tr>
      <w:tr w:rsidR="008C0D77" w14:paraId="027535EB" w14:textId="77777777" w:rsidTr="00A116BD">
        <w:tc>
          <w:tcPr>
            <w:tcW w:w="2977" w:type="dxa"/>
          </w:tcPr>
          <w:p w14:paraId="0E3A35F5" w14:textId="76EF739B" w:rsidR="008C0D77" w:rsidRDefault="008C0D77" w:rsidP="008C0D77">
            <w:r>
              <w:t>Warren Hughes</w:t>
            </w:r>
          </w:p>
        </w:tc>
        <w:tc>
          <w:tcPr>
            <w:tcW w:w="6044" w:type="dxa"/>
          </w:tcPr>
          <w:p w14:paraId="6A34B0F2" w14:textId="2969D1FA" w:rsidR="008C0D77" w:rsidRDefault="008C0D77" w:rsidP="008C0D77">
            <w:r>
              <w:t>Fast Forward</w:t>
            </w:r>
          </w:p>
        </w:tc>
      </w:tr>
    </w:tbl>
    <w:p w14:paraId="7E229857" w14:textId="77777777" w:rsidR="00E70529" w:rsidRDefault="00E70529" w:rsidP="00E70529">
      <w:pPr>
        <w:ind w:left="1440" w:hanging="1440"/>
      </w:pPr>
      <w:r>
        <w:t xml:space="preserve"> </w:t>
      </w:r>
    </w:p>
    <w:p w14:paraId="3080BCF0" w14:textId="7C19A02B" w:rsidR="001D32CF" w:rsidRPr="00E70529" w:rsidRDefault="001D32CF" w:rsidP="00E70529">
      <w:pPr>
        <w:ind w:left="1440" w:hanging="1440"/>
      </w:pPr>
      <w:r w:rsidRPr="001D32CF">
        <w:rPr>
          <w:b/>
          <w:bCs/>
        </w:rPr>
        <w:t>Apologies</w:t>
      </w:r>
    </w:p>
    <w:tbl>
      <w:tblPr>
        <w:tblStyle w:val="TableGrid"/>
        <w:tblW w:w="0" w:type="auto"/>
        <w:tblInd w:w="-5" w:type="dxa"/>
        <w:tblLook w:val="04A0" w:firstRow="1" w:lastRow="0" w:firstColumn="1" w:lastColumn="0" w:noHBand="0" w:noVBand="1"/>
      </w:tblPr>
      <w:tblGrid>
        <w:gridCol w:w="2977"/>
        <w:gridCol w:w="6044"/>
      </w:tblGrid>
      <w:tr w:rsidR="001D32CF" w14:paraId="065A9453" w14:textId="77777777" w:rsidTr="008C0D77">
        <w:tc>
          <w:tcPr>
            <w:tcW w:w="2977" w:type="dxa"/>
          </w:tcPr>
          <w:p w14:paraId="23E5E92A" w14:textId="02013E9A" w:rsidR="001D32CF" w:rsidRPr="008C0D77" w:rsidRDefault="008C0D77" w:rsidP="0077663F">
            <w:pPr>
              <w:rPr>
                <w:b/>
                <w:bCs/>
              </w:rPr>
            </w:pPr>
            <w:r>
              <w:rPr>
                <w:b/>
                <w:bCs/>
              </w:rPr>
              <w:t>Name</w:t>
            </w:r>
          </w:p>
        </w:tc>
        <w:tc>
          <w:tcPr>
            <w:tcW w:w="6044" w:type="dxa"/>
          </w:tcPr>
          <w:p w14:paraId="462EA41C" w14:textId="4B64E731" w:rsidR="001D32CF" w:rsidRDefault="008C0D77" w:rsidP="0077663F">
            <w:pPr>
              <w:rPr>
                <w:b/>
                <w:bCs/>
              </w:rPr>
            </w:pPr>
            <w:r>
              <w:rPr>
                <w:b/>
                <w:bCs/>
              </w:rPr>
              <w:t>Organisation</w:t>
            </w:r>
          </w:p>
        </w:tc>
      </w:tr>
      <w:tr w:rsidR="000A259D" w14:paraId="33430F34" w14:textId="77777777" w:rsidTr="008C0D77">
        <w:tc>
          <w:tcPr>
            <w:tcW w:w="2977" w:type="dxa"/>
          </w:tcPr>
          <w:p w14:paraId="7A31275A" w14:textId="120DCC61" w:rsidR="000A259D" w:rsidRPr="000134BA" w:rsidRDefault="000A259D" w:rsidP="0077663F">
            <w:pPr>
              <w:rPr>
                <w:bCs/>
              </w:rPr>
            </w:pPr>
            <w:r w:rsidRPr="000134BA">
              <w:rPr>
                <w:bCs/>
              </w:rPr>
              <w:t>Danny Hames</w:t>
            </w:r>
          </w:p>
        </w:tc>
        <w:tc>
          <w:tcPr>
            <w:tcW w:w="6044" w:type="dxa"/>
          </w:tcPr>
          <w:p w14:paraId="4ABF9850" w14:textId="325005F8" w:rsidR="000A259D" w:rsidRPr="000134BA" w:rsidRDefault="00DF048F" w:rsidP="0077663F">
            <w:pPr>
              <w:rPr>
                <w:bCs/>
              </w:rPr>
            </w:pPr>
            <w:r w:rsidRPr="000134BA">
              <w:rPr>
                <w:bCs/>
              </w:rPr>
              <w:t>NHS Substance Misuse Provider</w:t>
            </w:r>
          </w:p>
        </w:tc>
      </w:tr>
      <w:tr w:rsidR="00DF048F" w14:paraId="1C39CF14" w14:textId="77777777" w:rsidTr="008C0D77">
        <w:tc>
          <w:tcPr>
            <w:tcW w:w="2977" w:type="dxa"/>
          </w:tcPr>
          <w:p w14:paraId="1E575E25" w14:textId="1C414153" w:rsidR="00DF048F" w:rsidRPr="000134BA" w:rsidRDefault="00DF048F" w:rsidP="0077663F">
            <w:pPr>
              <w:rPr>
                <w:bCs/>
              </w:rPr>
            </w:pPr>
            <w:r w:rsidRPr="000134BA">
              <w:rPr>
                <w:bCs/>
              </w:rPr>
              <w:t>Heather Wardle</w:t>
            </w:r>
          </w:p>
        </w:tc>
        <w:tc>
          <w:tcPr>
            <w:tcW w:w="6044" w:type="dxa"/>
          </w:tcPr>
          <w:p w14:paraId="18C36D03" w14:textId="7F613951" w:rsidR="00DF048F" w:rsidRPr="000134BA" w:rsidRDefault="00DF048F" w:rsidP="0077663F">
            <w:pPr>
              <w:rPr>
                <w:bCs/>
              </w:rPr>
            </w:pPr>
            <w:r w:rsidRPr="000134BA">
              <w:rPr>
                <w:bCs/>
              </w:rPr>
              <w:t>London School of Hygiene and Tropical Medicine</w:t>
            </w:r>
          </w:p>
        </w:tc>
      </w:tr>
      <w:tr w:rsidR="001D32CF" w14:paraId="46ECD407" w14:textId="77777777" w:rsidTr="008C0D77">
        <w:tc>
          <w:tcPr>
            <w:tcW w:w="2977" w:type="dxa"/>
          </w:tcPr>
          <w:p w14:paraId="5BF8F8EF" w14:textId="2CFB5E55" w:rsidR="001D32CF" w:rsidRPr="000134BA" w:rsidRDefault="00C017C5" w:rsidP="0077663F">
            <w:pPr>
              <w:rPr>
                <w:bCs/>
              </w:rPr>
            </w:pPr>
            <w:r w:rsidRPr="000134BA">
              <w:rPr>
                <w:bCs/>
              </w:rPr>
              <w:t>Justyn Larcombe</w:t>
            </w:r>
          </w:p>
        </w:tc>
        <w:tc>
          <w:tcPr>
            <w:tcW w:w="6044" w:type="dxa"/>
          </w:tcPr>
          <w:p w14:paraId="7972DF48" w14:textId="1E418DC1" w:rsidR="001D32CF" w:rsidRPr="000134BA" w:rsidRDefault="000134BA" w:rsidP="0077663F">
            <w:pPr>
              <w:rPr>
                <w:bCs/>
              </w:rPr>
            </w:pPr>
            <w:r w:rsidRPr="000134BA">
              <w:rPr>
                <w:bCs/>
              </w:rPr>
              <w:t>Recovery Two</w:t>
            </w:r>
          </w:p>
        </w:tc>
      </w:tr>
      <w:tr w:rsidR="001D32CF" w14:paraId="71990071" w14:textId="77777777" w:rsidTr="008C0D77">
        <w:tc>
          <w:tcPr>
            <w:tcW w:w="2977" w:type="dxa"/>
          </w:tcPr>
          <w:p w14:paraId="068EE896" w14:textId="61909C16" w:rsidR="001D32CF" w:rsidRPr="000134BA" w:rsidRDefault="008C0D77" w:rsidP="008C0D77">
            <w:pPr>
              <w:rPr>
                <w:bCs/>
              </w:rPr>
            </w:pPr>
            <w:r w:rsidRPr="000134BA">
              <w:rPr>
                <w:bCs/>
              </w:rPr>
              <w:t>Owen Bailey</w:t>
            </w:r>
          </w:p>
        </w:tc>
        <w:tc>
          <w:tcPr>
            <w:tcW w:w="6044" w:type="dxa"/>
          </w:tcPr>
          <w:p w14:paraId="337D8661" w14:textId="2DFCE920" w:rsidR="001D32CF" w:rsidRPr="000134BA" w:rsidRDefault="00C017C5" w:rsidP="0077663F">
            <w:pPr>
              <w:rPr>
                <w:bCs/>
              </w:rPr>
            </w:pPr>
            <w:r w:rsidRPr="000134BA">
              <w:rPr>
                <w:bCs/>
              </w:rPr>
              <w:t>Citizens Advice North Oxfordshire</w:t>
            </w:r>
          </w:p>
        </w:tc>
      </w:tr>
      <w:tr w:rsidR="000A259D" w14:paraId="6647AE9B" w14:textId="77777777" w:rsidTr="008C0D77">
        <w:tc>
          <w:tcPr>
            <w:tcW w:w="2977" w:type="dxa"/>
          </w:tcPr>
          <w:p w14:paraId="25FF8AE4" w14:textId="20CA4439" w:rsidR="000A259D" w:rsidRPr="000134BA" w:rsidRDefault="000A259D" w:rsidP="008C0D77">
            <w:pPr>
              <w:rPr>
                <w:bCs/>
              </w:rPr>
            </w:pPr>
            <w:r w:rsidRPr="000134BA">
              <w:rPr>
                <w:bCs/>
              </w:rPr>
              <w:lastRenderedPageBreak/>
              <w:t>Rachel Lampard</w:t>
            </w:r>
          </w:p>
        </w:tc>
        <w:tc>
          <w:tcPr>
            <w:tcW w:w="6044" w:type="dxa"/>
          </w:tcPr>
          <w:p w14:paraId="57800B8B" w14:textId="79E86E65" w:rsidR="000A259D" w:rsidRPr="000134BA" w:rsidRDefault="000A259D" w:rsidP="0077663F">
            <w:pPr>
              <w:rPr>
                <w:bCs/>
              </w:rPr>
            </w:pPr>
            <w:r w:rsidRPr="000134BA">
              <w:rPr>
                <w:bCs/>
              </w:rPr>
              <w:t>The Methodist Church</w:t>
            </w:r>
          </w:p>
        </w:tc>
      </w:tr>
      <w:tr w:rsidR="000A259D" w14:paraId="541BFA57" w14:textId="77777777" w:rsidTr="008C0D77">
        <w:tc>
          <w:tcPr>
            <w:tcW w:w="2977" w:type="dxa"/>
          </w:tcPr>
          <w:p w14:paraId="2B965753" w14:textId="680D66D1" w:rsidR="000A259D" w:rsidRPr="000134BA" w:rsidRDefault="000A259D" w:rsidP="008C0D77">
            <w:pPr>
              <w:rPr>
                <w:bCs/>
              </w:rPr>
            </w:pPr>
            <w:r w:rsidRPr="000134BA">
              <w:rPr>
                <w:bCs/>
              </w:rPr>
              <w:t>Rochelle Beale</w:t>
            </w:r>
          </w:p>
        </w:tc>
        <w:tc>
          <w:tcPr>
            <w:tcW w:w="6044" w:type="dxa"/>
          </w:tcPr>
          <w:p w14:paraId="41A0E272" w14:textId="3D2DBA18" w:rsidR="000A259D" w:rsidRPr="000134BA" w:rsidRDefault="000A259D" w:rsidP="0077663F">
            <w:pPr>
              <w:rPr>
                <w:bCs/>
              </w:rPr>
            </w:pPr>
            <w:r w:rsidRPr="000134BA">
              <w:rPr>
                <w:bCs/>
              </w:rPr>
              <w:t>Department of Health and Social Care</w:t>
            </w:r>
          </w:p>
        </w:tc>
      </w:tr>
    </w:tbl>
    <w:p w14:paraId="30659E51" w14:textId="5C073291" w:rsidR="001D32CF" w:rsidRDefault="001D32CF" w:rsidP="0077663F">
      <w:pPr>
        <w:ind w:left="1440" w:hanging="1440"/>
        <w:rPr>
          <w:b/>
          <w:bCs/>
        </w:rPr>
      </w:pPr>
    </w:p>
    <w:p w14:paraId="1B2BD9F1" w14:textId="295CA4E3" w:rsidR="001D32CF" w:rsidRDefault="001D32CF" w:rsidP="001D32CF">
      <w:pPr>
        <w:pStyle w:val="ListParagraph"/>
        <w:numPr>
          <w:ilvl w:val="0"/>
          <w:numId w:val="1"/>
        </w:numPr>
        <w:rPr>
          <w:b/>
          <w:bCs/>
        </w:rPr>
      </w:pPr>
      <w:r>
        <w:rPr>
          <w:b/>
          <w:bCs/>
        </w:rPr>
        <w:t>Welcome and overview</w:t>
      </w:r>
    </w:p>
    <w:p w14:paraId="622E56F4" w14:textId="45C0B77E" w:rsidR="001D32CF" w:rsidRDefault="001D32CF" w:rsidP="001D32CF">
      <w:r>
        <w:t xml:space="preserve">Duncan Stephenson welcomed attendees to the first AGM of the Gambling Health Alliance. </w:t>
      </w:r>
      <w:r w:rsidR="007519B9">
        <w:t>He highlighted the increasing normalisation of gambling, the shift to online gambling during the pandemic, the rise in</w:t>
      </w:r>
      <w:r w:rsidR="00291281">
        <w:t xml:space="preserve"> the</w:t>
      </w:r>
      <w:r w:rsidR="007519B9">
        <w:t xml:space="preserve"> prevalence of problem gambling, the links between gaming and gambling, and the small proportion of problem gamblers who receive treatment. He also highlighted new opportunities for GHA to respond, including the DCMS consultation on loot boxes, the forthcoming Gambling Review, and the ASA consultation on gambling advertising. Duncan </w:t>
      </w:r>
      <w:r w:rsidR="009F7562">
        <w:t>reported</w:t>
      </w:r>
      <w:r w:rsidR="007519B9">
        <w:t xml:space="preserve"> that GHA </w:t>
      </w:r>
      <w:r w:rsidR="00291281">
        <w:t xml:space="preserve">has </w:t>
      </w:r>
      <w:r w:rsidR="007519B9">
        <w:t>joined the new Coalition Against Gambling Advertising</w:t>
      </w:r>
      <w:r w:rsidR="002E24A1">
        <w:t>, which launched with a focus on football advertising</w:t>
      </w:r>
      <w:r w:rsidR="007519B9">
        <w:t>.</w:t>
      </w:r>
    </w:p>
    <w:p w14:paraId="70DDABF8" w14:textId="664D92A8" w:rsidR="007519B9" w:rsidRDefault="002E24A1" w:rsidP="001D32CF">
      <w:r>
        <w:t xml:space="preserve">The </w:t>
      </w:r>
      <w:r w:rsidR="009F7562">
        <w:t xml:space="preserve">GHA’s objectives were </w:t>
      </w:r>
      <w:r w:rsidR="00461F5E">
        <w:t>described and Duncan stated that there are now 50 members from a diverse range of backgrounds.</w:t>
      </w:r>
    </w:p>
    <w:p w14:paraId="4DB80A20" w14:textId="485687FB" w:rsidR="00461F5E" w:rsidRPr="00461F5E" w:rsidRDefault="00461F5E" w:rsidP="001D32CF">
      <w:pPr>
        <w:rPr>
          <w:i/>
          <w:iCs/>
        </w:rPr>
      </w:pPr>
      <w:r>
        <w:t>The current Steering Group members are:</w:t>
      </w:r>
    </w:p>
    <w:tbl>
      <w:tblPr>
        <w:tblStyle w:val="TableGrid"/>
        <w:tblW w:w="0" w:type="auto"/>
        <w:tblInd w:w="-5" w:type="dxa"/>
        <w:tblLook w:val="04A0" w:firstRow="1" w:lastRow="0" w:firstColumn="1" w:lastColumn="0" w:noHBand="0" w:noVBand="1"/>
      </w:tblPr>
      <w:tblGrid>
        <w:gridCol w:w="2977"/>
        <w:gridCol w:w="6044"/>
      </w:tblGrid>
      <w:tr w:rsidR="002E24A1" w:rsidRPr="000134BA" w14:paraId="66E428AA" w14:textId="77777777" w:rsidTr="002E24A1">
        <w:tc>
          <w:tcPr>
            <w:tcW w:w="2977" w:type="dxa"/>
          </w:tcPr>
          <w:p w14:paraId="3F2BAAAD" w14:textId="285A30C6" w:rsidR="002E24A1" w:rsidRPr="002E24A1" w:rsidRDefault="002E24A1" w:rsidP="002E24A1">
            <w:pPr>
              <w:rPr>
                <w:b/>
                <w:bCs/>
              </w:rPr>
            </w:pPr>
            <w:r w:rsidRPr="002E24A1">
              <w:rPr>
                <w:b/>
                <w:bCs/>
              </w:rPr>
              <w:t>Name</w:t>
            </w:r>
          </w:p>
        </w:tc>
        <w:tc>
          <w:tcPr>
            <w:tcW w:w="6044" w:type="dxa"/>
          </w:tcPr>
          <w:p w14:paraId="093F9282" w14:textId="743A26E9" w:rsidR="002E24A1" w:rsidRPr="002E24A1" w:rsidRDefault="002E24A1" w:rsidP="002E24A1">
            <w:pPr>
              <w:rPr>
                <w:b/>
                <w:bCs/>
              </w:rPr>
            </w:pPr>
            <w:r w:rsidRPr="002E24A1">
              <w:rPr>
                <w:b/>
                <w:bCs/>
              </w:rPr>
              <w:t>Organisation</w:t>
            </w:r>
          </w:p>
        </w:tc>
      </w:tr>
      <w:tr w:rsidR="002E24A1" w:rsidRPr="000134BA" w14:paraId="61CBB5A7" w14:textId="77777777" w:rsidTr="002E24A1">
        <w:tc>
          <w:tcPr>
            <w:tcW w:w="2977" w:type="dxa"/>
          </w:tcPr>
          <w:p w14:paraId="29AC8537" w14:textId="77777777" w:rsidR="002E24A1" w:rsidRPr="000134BA" w:rsidRDefault="002E24A1" w:rsidP="002E24A1">
            <w:pPr>
              <w:rPr>
                <w:bCs/>
              </w:rPr>
            </w:pPr>
            <w:r w:rsidRPr="000134BA">
              <w:rPr>
                <w:bCs/>
              </w:rPr>
              <w:t>Danny Hames</w:t>
            </w:r>
          </w:p>
        </w:tc>
        <w:tc>
          <w:tcPr>
            <w:tcW w:w="6044" w:type="dxa"/>
          </w:tcPr>
          <w:p w14:paraId="5A7F5423" w14:textId="77777777" w:rsidR="002E24A1" w:rsidRPr="000134BA" w:rsidRDefault="002E24A1" w:rsidP="002E24A1">
            <w:pPr>
              <w:rPr>
                <w:bCs/>
              </w:rPr>
            </w:pPr>
            <w:r w:rsidRPr="000134BA">
              <w:rPr>
                <w:bCs/>
              </w:rPr>
              <w:t>NHS Substance Misuse Provider</w:t>
            </w:r>
          </w:p>
        </w:tc>
      </w:tr>
      <w:tr w:rsidR="002E24A1" w:rsidRPr="000134BA" w14:paraId="2348E137" w14:textId="77777777" w:rsidTr="002E24A1">
        <w:tc>
          <w:tcPr>
            <w:tcW w:w="2977" w:type="dxa"/>
          </w:tcPr>
          <w:p w14:paraId="2A2E75F9" w14:textId="57655317" w:rsidR="002E24A1" w:rsidRPr="000134BA" w:rsidRDefault="002E24A1" w:rsidP="002E24A1">
            <w:pPr>
              <w:rPr>
                <w:bCs/>
              </w:rPr>
            </w:pPr>
            <w:r w:rsidRPr="000134BA">
              <w:rPr>
                <w:bCs/>
              </w:rPr>
              <w:t>Justyn Larcombe</w:t>
            </w:r>
          </w:p>
        </w:tc>
        <w:tc>
          <w:tcPr>
            <w:tcW w:w="6044" w:type="dxa"/>
          </w:tcPr>
          <w:p w14:paraId="5370A3CD" w14:textId="65318C38" w:rsidR="002E24A1" w:rsidRPr="000134BA" w:rsidRDefault="002E24A1" w:rsidP="002E24A1">
            <w:pPr>
              <w:rPr>
                <w:bCs/>
              </w:rPr>
            </w:pPr>
            <w:r w:rsidRPr="000134BA">
              <w:rPr>
                <w:bCs/>
              </w:rPr>
              <w:t>Recovery Two</w:t>
            </w:r>
          </w:p>
        </w:tc>
      </w:tr>
      <w:tr w:rsidR="002E24A1" w:rsidRPr="000134BA" w14:paraId="3714167E" w14:textId="77777777" w:rsidTr="002E24A1">
        <w:tc>
          <w:tcPr>
            <w:tcW w:w="2977" w:type="dxa"/>
          </w:tcPr>
          <w:p w14:paraId="72FEAAD2" w14:textId="20641A90" w:rsidR="002E24A1" w:rsidRPr="000134BA" w:rsidRDefault="002E24A1" w:rsidP="002E24A1">
            <w:pPr>
              <w:rPr>
                <w:bCs/>
              </w:rPr>
            </w:pPr>
            <w:r>
              <w:t>Katie Fry</w:t>
            </w:r>
          </w:p>
        </w:tc>
        <w:tc>
          <w:tcPr>
            <w:tcW w:w="6044" w:type="dxa"/>
          </w:tcPr>
          <w:p w14:paraId="2EEC3759" w14:textId="3B5BD4EA" w:rsidR="002E24A1" w:rsidRPr="000134BA" w:rsidRDefault="002E24A1" w:rsidP="002E24A1">
            <w:pPr>
              <w:rPr>
                <w:bCs/>
              </w:rPr>
            </w:pPr>
            <w:r>
              <w:t>Citizens Advice</w:t>
            </w:r>
          </w:p>
        </w:tc>
      </w:tr>
      <w:tr w:rsidR="002E24A1" w:rsidRPr="000134BA" w14:paraId="2C2247FB" w14:textId="77777777" w:rsidTr="002E24A1">
        <w:tc>
          <w:tcPr>
            <w:tcW w:w="2977" w:type="dxa"/>
          </w:tcPr>
          <w:p w14:paraId="583F90E6" w14:textId="3FA40C89" w:rsidR="002E24A1" w:rsidRDefault="002E24A1" w:rsidP="002E24A1">
            <w:r>
              <w:t>Meagan Levin</w:t>
            </w:r>
          </w:p>
        </w:tc>
        <w:tc>
          <w:tcPr>
            <w:tcW w:w="6044" w:type="dxa"/>
          </w:tcPr>
          <w:p w14:paraId="19A6B960" w14:textId="1381BD16" w:rsidR="002E24A1" w:rsidRDefault="002E24A1" w:rsidP="002E24A1">
            <w:r>
              <w:t>Royal British Legion</w:t>
            </w:r>
          </w:p>
        </w:tc>
      </w:tr>
      <w:tr w:rsidR="002E24A1" w:rsidRPr="000134BA" w14:paraId="1182EDBD" w14:textId="77777777" w:rsidTr="002E24A1">
        <w:tc>
          <w:tcPr>
            <w:tcW w:w="2977" w:type="dxa"/>
          </w:tcPr>
          <w:p w14:paraId="14559E61" w14:textId="070C4E34" w:rsidR="002E24A1" w:rsidRDefault="002E24A1" w:rsidP="002E24A1">
            <w:r>
              <w:t>Lee Willows</w:t>
            </w:r>
          </w:p>
        </w:tc>
        <w:tc>
          <w:tcPr>
            <w:tcW w:w="6044" w:type="dxa"/>
          </w:tcPr>
          <w:p w14:paraId="33A9BB4B" w14:textId="54577854" w:rsidR="002E24A1" w:rsidRDefault="002E24A1" w:rsidP="002E24A1">
            <w:r>
              <w:t>YGAM</w:t>
            </w:r>
          </w:p>
        </w:tc>
      </w:tr>
    </w:tbl>
    <w:p w14:paraId="2CFD163D" w14:textId="0D6E7A99" w:rsidR="00461F5E" w:rsidRDefault="00F22132" w:rsidP="001D32CF">
      <w:r>
        <w:br/>
      </w:r>
      <w:r w:rsidR="00461F5E">
        <w:t>There are also work</w:t>
      </w:r>
      <w:r>
        <w:t xml:space="preserve"> </w:t>
      </w:r>
      <w:r w:rsidR="00461F5E">
        <w:t>streams on policy, communications, and public affairs.</w:t>
      </w:r>
    </w:p>
    <w:p w14:paraId="4E9D5733" w14:textId="3DDF2B4A" w:rsidR="00461F5E" w:rsidRDefault="00461F5E" w:rsidP="001D32CF">
      <w:r>
        <w:t xml:space="preserve">Duncan outlined the membership criteria and informed attendees that GHA will be changing the categories of membership. There will now be two: Full Members and Observers. The Observer category applies to organisations that </w:t>
      </w:r>
      <w:r w:rsidR="00F22132" w:rsidRPr="00F22132">
        <w:rPr>
          <w:rFonts w:ascii="Calibri" w:hAnsi="Calibri" w:cs="Calibri"/>
          <w:szCs w:val="24"/>
        </w:rPr>
        <w:t xml:space="preserve">meet the full eligibility criteria, support most or all of the objectives of GHA but who do not wish to, or are not deemed able to, contribute to or be associated with its policy outputs or public statements. </w:t>
      </w:r>
      <w:r>
        <w:t>Any members whose status is affected by the new criteria will be contacted shortly.</w:t>
      </w:r>
    </w:p>
    <w:p w14:paraId="744AE749" w14:textId="3D84B0F6" w:rsidR="00461F5E" w:rsidRDefault="00461F5E" w:rsidP="001D32CF">
      <w:r>
        <w:t>Duncan stated that GHA is funded by GambleAware and that there is an agreement between the two organisations that specifies the nature of the relationship. GambleAware does not have the power to sign-off GHA’s work and provides advice on GHA’s research work alone.</w:t>
      </w:r>
    </w:p>
    <w:p w14:paraId="38340B74" w14:textId="3FA83715" w:rsidR="00461F5E" w:rsidRPr="00461F5E" w:rsidRDefault="00461F5E" w:rsidP="001D32CF">
      <w:pPr>
        <w:rPr>
          <w:b/>
          <w:bCs/>
        </w:rPr>
      </w:pPr>
    </w:p>
    <w:p w14:paraId="33560795" w14:textId="55A865FB" w:rsidR="00461F5E" w:rsidRPr="00461F5E" w:rsidRDefault="00461F5E" w:rsidP="00461F5E">
      <w:pPr>
        <w:pStyle w:val="ListParagraph"/>
        <w:numPr>
          <w:ilvl w:val="0"/>
          <w:numId w:val="1"/>
        </w:numPr>
        <w:rPr>
          <w:b/>
          <w:bCs/>
        </w:rPr>
      </w:pPr>
      <w:r w:rsidRPr="00461F5E">
        <w:rPr>
          <w:b/>
          <w:bCs/>
        </w:rPr>
        <w:t>GHA’s work in Year 1</w:t>
      </w:r>
    </w:p>
    <w:p w14:paraId="38EDB0E4" w14:textId="77777777" w:rsidR="0073551A" w:rsidRDefault="00461F5E" w:rsidP="001D32CF">
      <w:r>
        <w:t xml:space="preserve">Louisa Mason provided a report on the first year of activity. She explained that, following extensive consultations with the members and the Steering Group, it had been decided to follow up the RSPH’s </w:t>
      </w:r>
      <w:r w:rsidRPr="00461F5E">
        <w:rPr>
          <w:i/>
          <w:iCs/>
        </w:rPr>
        <w:t>Skins in the Game</w:t>
      </w:r>
      <w:r>
        <w:t xml:space="preserve"> report with a focus on loot boxes. </w:t>
      </w:r>
      <w:r w:rsidR="00453DE7">
        <w:t xml:space="preserve">Specifically, GHA is calling for loot boxes to be classified as gambling and made illegal for under 18 year olds. </w:t>
      </w:r>
    </w:p>
    <w:p w14:paraId="48E8F994" w14:textId="413C9985" w:rsidR="007519B9" w:rsidRDefault="00453DE7" w:rsidP="001D32CF">
      <w:pPr>
        <w:rPr>
          <w:color w:val="FF0000"/>
        </w:rPr>
      </w:pPr>
      <w:r>
        <w:t xml:space="preserve">GHA has responded </w:t>
      </w:r>
      <w:r w:rsidR="0073551A">
        <w:t xml:space="preserve">to the DCMS consultation on loot boxes </w:t>
      </w:r>
      <w:r>
        <w:t>with a submission based on original survey work with young people</w:t>
      </w:r>
      <w:r w:rsidR="0073551A">
        <w:t xml:space="preserve"> and by launching the </w:t>
      </w:r>
      <w:r w:rsidR="0073551A" w:rsidRPr="00DD46A8">
        <w:rPr>
          <w:i/>
        </w:rPr>
        <w:t>#LidOnLoots</w:t>
      </w:r>
      <w:r w:rsidR="0073551A">
        <w:t xml:space="preserve"> campaign</w:t>
      </w:r>
      <w:r w:rsidR="00291281">
        <w:t xml:space="preserve"> in November 2020</w:t>
      </w:r>
      <w:r w:rsidR="00FA4442">
        <w:t>. Louisa presented some key findings from the survey which are shown in Appendix 1.</w:t>
      </w:r>
    </w:p>
    <w:p w14:paraId="54647FE6" w14:textId="28ABAEA4" w:rsidR="0073551A" w:rsidRDefault="0073551A" w:rsidP="001D32CF">
      <w:r>
        <w:lastRenderedPageBreak/>
        <w:t>Louisa explained that the next steps in the campaign will be to</w:t>
      </w:r>
      <w:r w:rsidR="00500F5F">
        <w:t xml:space="preserve"> engage with industry (UKIE, PEGI, EA), parents (ParentZone, Mumsnet)</w:t>
      </w:r>
      <w:r w:rsidR="00291281">
        <w:t>,</w:t>
      </w:r>
      <w:r w:rsidR="00500F5F">
        <w:t xml:space="preserve"> and polit</w:t>
      </w:r>
      <w:r w:rsidR="006F6910">
        <w:t>ical stakeholders (APPG, P</w:t>
      </w:r>
      <w:r w:rsidR="00500F5F">
        <w:t xml:space="preserve">eers, the devolved administrations). GHA will also release its financial impact survey data and respond to the ASA consultation </w:t>
      </w:r>
      <w:r w:rsidR="006F6910">
        <w:t xml:space="preserve">on in-game purchasing, </w:t>
      </w:r>
      <w:r w:rsidR="00500F5F">
        <w:t>as well as the Gambling Review.</w:t>
      </w:r>
    </w:p>
    <w:p w14:paraId="09E5C9F8" w14:textId="5AF58ED4" w:rsidR="00500F5F" w:rsidRDefault="00500F5F" w:rsidP="001D32CF">
      <w:r>
        <w:t>The following issues were raised in response:</w:t>
      </w:r>
    </w:p>
    <w:p w14:paraId="3293C9C4" w14:textId="1398251C" w:rsidR="00500F5F" w:rsidRDefault="00500F5F" w:rsidP="00357307">
      <w:pPr>
        <w:pStyle w:val="ListParagraph"/>
        <w:numPr>
          <w:ilvl w:val="0"/>
          <w:numId w:val="2"/>
        </w:numPr>
      </w:pPr>
      <w:r>
        <w:t>How will GHA tackle the issue of enabling over 18s to continue to purchase loot boxes but still prevent younger users from doing so?</w:t>
      </w:r>
    </w:p>
    <w:p w14:paraId="4ED45945" w14:textId="14DC6573" w:rsidR="00500F5F" w:rsidRDefault="00500F5F" w:rsidP="00357307">
      <w:pPr>
        <w:pStyle w:val="ListParagraph"/>
        <w:numPr>
          <w:ilvl w:val="0"/>
          <w:numId w:val="2"/>
        </w:numPr>
      </w:pPr>
      <w:r>
        <w:t>An OFCOM study has found that only 3-6% of all gamers have ever purchased loot boxes</w:t>
      </w:r>
      <w:r w:rsidR="00357307">
        <w:t xml:space="preserve"> and the gaming industry is anyway now developing new monetisation systems.</w:t>
      </w:r>
    </w:p>
    <w:p w14:paraId="633483E6" w14:textId="091F38DB" w:rsidR="00357307" w:rsidRDefault="00357307" w:rsidP="00357307">
      <w:pPr>
        <w:pStyle w:val="ListParagraph"/>
        <w:numPr>
          <w:ilvl w:val="0"/>
          <w:numId w:val="2"/>
        </w:numPr>
      </w:pPr>
      <w:r>
        <w:t>GHA will need to engage with the industry to create a self-regulatory code of practice.</w:t>
      </w:r>
    </w:p>
    <w:p w14:paraId="0DD4E761" w14:textId="21387A5B" w:rsidR="00C52DA3" w:rsidRDefault="00C52DA3" w:rsidP="00357307">
      <w:pPr>
        <w:pStyle w:val="ListParagraph"/>
        <w:numPr>
          <w:ilvl w:val="0"/>
          <w:numId w:val="2"/>
        </w:numPr>
      </w:pPr>
      <w:r>
        <w:t>Opposing view that the gaming industry can’t be part of the solution because loot boxes are a form of gambling and therefore need to be regulated as such (by the Gambling Commission).</w:t>
      </w:r>
    </w:p>
    <w:p w14:paraId="02243124" w14:textId="2B770DD6" w:rsidR="00500F5F" w:rsidRPr="00357307" w:rsidRDefault="00500F5F" w:rsidP="001D32CF"/>
    <w:p w14:paraId="115A9AB2" w14:textId="23BA9C54" w:rsidR="00357307" w:rsidRPr="00357307" w:rsidRDefault="00357307" w:rsidP="00357307">
      <w:pPr>
        <w:pStyle w:val="ListParagraph"/>
        <w:numPr>
          <w:ilvl w:val="0"/>
          <w:numId w:val="1"/>
        </w:numPr>
      </w:pPr>
      <w:r w:rsidRPr="00357307">
        <w:rPr>
          <w:b/>
          <w:bCs/>
        </w:rPr>
        <w:t>Breakout discussion 1</w:t>
      </w:r>
    </w:p>
    <w:p w14:paraId="490C0DAB" w14:textId="79935A34" w:rsidR="00357307" w:rsidRDefault="007D649A" w:rsidP="00357307">
      <w:r>
        <w:t xml:space="preserve">Attendees were asked to consider issues concerning the organisation of GHA. </w:t>
      </w:r>
      <w:r w:rsidR="00357307" w:rsidRPr="00357307">
        <w:t>The following points were made</w:t>
      </w:r>
      <w:r>
        <w:t>:</w:t>
      </w:r>
    </w:p>
    <w:p w14:paraId="4F97EF42" w14:textId="2B581701" w:rsidR="00357307" w:rsidRDefault="00357307" w:rsidP="00357307">
      <w:pPr>
        <w:pStyle w:val="ListParagraph"/>
        <w:numPr>
          <w:ilvl w:val="0"/>
          <w:numId w:val="3"/>
        </w:numPr>
      </w:pPr>
      <w:r>
        <w:t>The Steering Group should reflect all the issues covered by the campaign and to achieve this it might be necessary to invite specific people as well as recruit through self-nomination.</w:t>
      </w:r>
    </w:p>
    <w:p w14:paraId="6D774146" w14:textId="0EBAACCF" w:rsidR="00357307" w:rsidRDefault="00357307" w:rsidP="00357307">
      <w:pPr>
        <w:pStyle w:val="ListParagraph"/>
        <w:numPr>
          <w:ilvl w:val="0"/>
          <w:numId w:val="3"/>
        </w:numPr>
      </w:pPr>
      <w:r>
        <w:t>There should be a diversity audit of the Steering Group as a step towards greater inclusiveness.</w:t>
      </w:r>
    </w:p>
    <w:p w14:paraId="2A843A12" w14:textId="7B51B21C" w:rsidR="00C52DA3" w:rsidRDefault="00C52DA3" w:rsidP="00357307">
      <w:pPr>
        <w:pStyle w:val="ListParagraph"/>
        <w:numPr>
          <w:ilvl w:val="0"/>
          <w:numId w:val="3"/>
        </w:numPr>
      </w:pPr>
      <w:r>
        <w:t xml:space="preserve">A job description for the Steering Group is needed now that a call has been put out for members to join the Steering Group. </w:t>
      </w:r>
    </w:p>
    <w:p w14:paraId="082AD3FC" w14:textId="0861BA8A" w:rsidR="00C52DA3" w:rsidRDefault="00C52DA3" w:rsidP="00357307">
      <w:pPr>
        <w:pStyle w:val="ListParagraph"/>
        <w:numPr>
          <w:ilvl w:val="0"/>
          <w:numId w:val="3"/>
        </w:numPr>
      </w:pPr>
      <w:r>
        <w:t xml:space="preserve">The Steering Group-GHA relationship should be better defined. </w:t>
      </w:r>
    </w:p>
    <w:p w14:paraId="11B9BBF0" w14:textId="2E161F95" w:rsidR="00357307" w:rsidRDefault="00357307" w:rsidP="00357307">
      <w:pPr>
        <w:pStyle w:val="ListParagraph"/>
        <w:numPr>
          <w:ilvl w:val="0"/>
          <w:numId w:val="3"/>
        </w:numPr>
      </w:pPr>
      <w:r>
        <w:t>Communications with members should be more regular (</w:t>
      </w:r>
      <w:r w:rsidR="006F6910">
        <w:t>e.g.</w:t>
      </w:r>
      <w:r>
        <w:t xml:space="preserve"> monthly or bimonthly bulletins) and there should be opportunities for members to share their work with each other.</w:t>
      </w:r>
    </w:p>
    <w:p w14:paraId="6D114404" w14:textId="44664367" w:rsidR="00357307" w:rsidRDefault="00357307" w:rsidP="00357307">
      <w:pPr>
        <w:pStyle w:val="ListParagraph"/>
        <w:numPr>
          <w:ilvl w:val="0"/>
          <w:numId w:val="3"/>
        </w:numPr>
      </w:pPr>
      <w:r>
        <w:t>GHA should establish smaller focus groups to discuss specific issues.</w:t>
      </w:r>
    </w:p>
    <w:p w14:paraId="2234AB80" w14:textId="77FB69A0" w:rsidR="00357307" w:rsidRDefault="00357307" w:rsidP="00357307">
      <w:pPr>
        <w:pStyle w:val="ListParagraph"/>
        <w:numPr>
          <w:ilvl w:val="0"/>
          <w:numId w:val="3"/>
        </w:numPr>
      </w:pPr>
      <w:r>
        <w:t>There should be a common # that all members can use.</w:t>
      </w:r>
    </w:p>
    <w:p w14:paraId="031007E1" w14:textId="1EDFAE7A" w:rsidR="00357307" w:rsidRDefault="00357307" w:rsidP="00357307">
      <w:pPr>
        <w:pStyle w:val="ListParagraph"/>
        <w:numPr>
          <w:ilvl w:val="0"/>
          <w:numId w:val="3"/>
        </w:numPr>
      </w:pPr>
      <w:r>
        <w:t>Messaging needs to be clear and targeted at young people.</w:t>
      </w:r>
    </w:p>
    <w:p w14:paraId="06353BC4" w14:textId="2FD64E53" w:rsidR="00357307" w:rsidRDefault="00357307" w:rsidP="00357307">
      <w:pPr>
        <w:pStyle w:val="ListParagraph"/>
        <w:numPr>
          <w:ilvl w:val="0"/>
          <w:numId w:val="3"/>
        </w:numPr>
      </w:pPr>
      <w:r>
        <w:t>There should be an engagement plan for different stakeholders.</w:t>
      </w:r>
    </w:p>
    <w:p w14:paraId="7924D9BC" w14:textId="283E0452" w:rsidR="00AB4BF8" w:rsidRDefault="00357307" w:rsidP="00AB4BF8">
      <w:pPr>
        <w:pStyle w:val="ListParagraph"/>
        <w:numPr>
          <w:ilvl w:val="0"/>
          <w:numId w:val="3"/>
        </w:numPr>
      </w:pPr>
      <w:r>
        <w:t>Members need more information about the work</w:t>
      </w:r>
      <w:r w:rsidR="006F6910">
        <w:t xml:space="preserve"> </w:t>
      </w:r>
      <w:r>
        <w:t>streams.</w:t>
      </w:r>
    </w:p>
    <w:p w14:paraId="6E387C80" w14:textId="571829D7" w:rsidR="00C52DA3" w:rsidRDefault="00C52DA3" w:rsidP="00AB4BF8">
      <w:pPr>
        <w:pStyle w:val="ListParagraph"/>
        <w:numPr>
          <w:ilvl w:val="0"/>
          <w:numId w:val="3"/>
        </w:numPr>
      </w:pPr>
      <w:r>
        <w:t xml:space="preserve">Members need clarification on what evidence is sufficient to demonstrate independence from industry to understand the new </w:t>
      </w:r>
      <w:r w:rsidR="002A4618">
        <w:t xml:space="preserve">types of membership. </w:t>
      </w:r>
    </w:p>
    <w:p w14:paraId="065C3FB2" w14:textId="33434327" w:rsidR="00357307" w:rsidRPr="00357307" w:rsidRDefault="00357307" w:rsidP="00357307">
      <w:pPr>
        <w:rPr>
          <w:b/>
          <w:bCs/>
        </w:rPr>
      </w:pPr>
    </w:p>
    <w:p w14:paraId="3674009E" w14:textId="31154BED" w:rsidR="00357307" w:rsidRDefault="00357307" w:rsidP="00357307">
      <w:pPr>
        <w:pStyle w:val="ListParagraph"/>
        <w:numPr>
          <w:ilvl w:val="0"/>
          <w:numId w:val="1"/>
        </w:numPr>
        <w:rPr>
          <w:b/>
          <w:bCs/>
        </w:rPr>
      </w:pPr>
      <w:r w:rsidRPr="00357307">
        <w:rPr>
          <w:b/>
          <w:bCs/>
        </w:rPr>
        <w:t>Communities in Charge of Gambling</w:t>
      </w:r>
    </w:p>
    <w:p w14:paraId="3B8760F0" w14:textId="6693D068" w:rsidR="00B94810" w:rsidRDefault="00357307" w:rsidP="00B94810">
      <w:r>
        <w:t>Aaron Mansfield described a new RSPH/GHA project to create gambling and health champions. Based on the successful RSPH</w:t>
      </w:r>
      <w:r w:rsidR="007D649A">
        <w:t xml:space="preserve"> project to create alcohol health champions, the plan is to recruit and train </w:t>
      </w:r>
      <w:r w:rsidR="00291281">
        <w:t>volunteers</w:t>
      </w:r>
      <w:r w:rsidR="007D649A">
        <w:t xml:space="preserve">, initially in NW England, to have brief conversations about gambling and health with their peers and to signpost to specialist support services where appropriate. Female and BAME problem gamblers </w:t>
      </w:r>
      <w:r w:rsidR="00291281">
        <w:t>will</w:t>
      </w:r>
      <w:r w:rsidR="007D649A">
        <w:t xml:space="preserve"> be a particular target for the champions. The champions </w:t>
      </w:r>
      <w:r w:rsidR="00291281">
        <w:t>will</w:t>
      </w:r>
      <w:r w:rsidR="007D649A">
        <w:t xml:space="preserve"> take an Ofqual-regulated Level 2 qualification</w:t>
      </w:r>
      <w:r w:rsidR="006F6910">
        <w:t xml:space="preserve"> that is being developed by RSPH with support from a number of GHA members</w:t>
      </w:r>
      <w:r w:rsidR="007D649A">
        <w:t>.</w:t>
      </w:r>
      <w:r w:rsidR="00B94810">
        <w:t xml:space="preserve"> If GHA members would like to be involved they should contact Aaron.</w:t>
      </w:r>
    </w:p>
    <w:p w14:paraId="190E9C91" w14:textId="4D5B1D7F" w:rsidR="00357307" w:rsidRDefault="00357307" w:rsidP="00357307"/>
    <w:p w14:paraId="17E5752F" w14:textId="26326CDF" w:rsidR="007D649A" w:rsidRPr="007D649A" w:rsidRDefault="007D649A" w:rsidP="00357307">
      <w:pPr>
        <w:rPr>
          <w:b/>
          <w:bCs/>
        </w:rPr>
      </w:pPr>
    </w:p>
    <w:p w14:paraId="77877CE0" w14:textId="561426D0" w:rsidR="007D649A" w:rsidRPr="007D649A" w:rsidRDefault="007D649A" w:rsidP="007D649A">
      <w:pPr>
        <w:pStyle w:val="ListParagraph"/>
        <w:numPr>
          <w:ilvl w:val="0"/>
          <w:numId w:val="1"/>
        </w:numPr>
        <w:rPr>
          <w:b/>
          <w:bCs/>
        </w:rPr>
      </w:pPr>
      <w:r w:rsidRPr="007D649A">
        <w:rPr>
          <w:b/>
          <w:bCs/>
        </w:rPr>
        <w:t>GHA’s work in Year 2</w:t>
      </w:r>
    </w:p>
    <w:p w14:paraId="57677ABC" w14:textId="7FF4298F" w:rsidR="007D649A" w:rsidRDefault="007D649A" w:rsidP="00357307">
      <w:r>
        <w:t>Duncan outlined the current plans for Year 2. These include:</w:t>
      </w:r>
    </w:p>
    <w:p w14:paraId="54EB4DE8" w14:textId="0646F179" w:rsidR="007D649A" w:rsidRDefault="007D649A" w:rsidP="007D649A">
      <w:pPr>
        <w:pStyle w:val="ListParagraph"/>
        <w:numPr>
          <w:ilvl w:val="0"/>
          <w:numId w:val="4"/>
        </w:numPr>
        <w:ind w:left="360"/>
      </w:pPr>
      <w:r>
        <w:t>Continuing the #LidOnLoots campaign.</w:t>
      </w:r>
    </w:p>
    <w:p w14:paraId="6AAA5804" w14:textId="17828837" w:rsidR="007D649A" w:rsidRDefault="007D649A" w:rsidP="007D649A">
      <w:pPr>
        <w:pStyle w:val="ListParagraph"/>
        <w:numPr>
          <w:ilvl w:val="0"/>
          <w:numId w:val="4"/>
        </w:numPr>
        <w:ind w:left="360"/>
      </w:pPr>
      <w:r>
        <w:t>Developing the Communities in Charge of Gambling initiative.</w:t>
      </w:r>
    </w:p>
    <w:p w14:paraId="05B0593C" w14:textId="5AA6AD65" w:rsidR="007D649A" w:rsidRDefault="007D649A" w:rsidP="007D649A">
      <w:pPr>
        <w:pStyle w:val="ListParagraph"/>
        <w:numPr>
          <w:ilvl w:val="0"/>
          <w:numId w:val="4"/>
        </w:numPr>
        <w:ind w:left="360"/>
      </w:pPr>
      <w:r>
        <w:t>Responding to the Gambling Review.</w:t>
      </w:r>
    </w:p>
    <w:p w14:paraId="4756DA53" w14:textId="2722CBC8" w:rsidR="007D649A" w:rsidRDefault="007D649A" w:rsidP="007D649A">
      <w:pPr>
        <w:pStyle w:val="ListParagraph"/>
        <w:numPr>
          <w:ilvl w:val="0"/>
          <w:numId w:val="4"/>
        </w:numPr>
        <w:ind w:left="360"/>
      </w:pPr>
      <w:r>
        <w:t>Responding to the ASA consultation</w:t>
      </w:r>
      <w:r w:rsidR="006F6910">
        <w:t>s</w:t>
      </w:r>
      <w:r>
        <w:t>.</w:t>
      </w:r>
    </w:p>
    <w:p w14:paraId="5C37A1A5" w14:textId="7627B244" w:rsidR="007D649A" w:rsidRPr="007D649A" w:rsidRDefault="007D649A" w:rsidP="007D649A">
      <w:pPr>
        <w:rPr>
          <w:b/>
          <w:bCs/>
        </w:rPr>
      </w:pPr>
    </w:p>
    <w:p w14:paraId="6BEEBFA1" w14:textId="24F87E25" w:rsidR="007D649A" w:rsidRDefault="007D649A" w:rsidP="007D649A">
      <w:pPr>
        <w:pStyle w:val="ListParagraph"/>
        <w:numPr>
          <w:ilvl w:val="0"/>
          <w:numId w:val="1"/>
        </w:numPr>
        <w:rPr>
          <w:b/>
          <w:bCs/>
        </w:rPr>
      </w:pPr>
      <w:r w:rsidRPr="007D649A">
        <w:rPr>
          <w:b/>
          <w:bCs/>
        </w:rPr>
        <w:t>Breakout discussion 2</w:t>
      </w:r>
    </w:p>
    <w:p w14:paraId="6C0C11A7" w14:textId="7EE9756F" w:rsidR="007D649A" w:rsidRDefault="003606DD" w:rsidP="007D649A">
      <w:r>
        <w:t>Attendees were asked to consider GHA’s work in Year 2. The following points were made:</w:t>
      </w:r>
    </w:p>
    <w:p w14:paraId="16A42E61" w14:textId="7BA8BE94" w:rsidR="003606DD" w:rsidRDefault="003606DD" w:rsidP="00AB4BF8">
      <w:pPr>
        <w:pStyle w:val="ListParagraph"/>
        <w:numPr>
          <w:ilvl w:val="0"/>
          <w:numId w:val="5"/>
        </w:numPr>
      </w:pPr>
      <w:r>
        <w:t>GHA should look beyond loot boxes and at the wider issues in gaming, including speed of play</w:t>
      </w:r>
      <w:r w:rsidR="00AB4BF8">
        <w:t>, mobile gaming</w:t>
      </w:r>
      <w:r>
        <w:t xml:space="preserve"> and spins.</w:t>
      </w:r>
    </w:p>
    <w:p w14:paraId="16B89C9A" w14:textId="1BCA8D15" w:rsidR="003606DD" w:rsidRDefault="003606DD" w:rsidP="00AB4BF8">
      <w:pPr>
        <w:pStyle w:val="ListParagraph"/>
        <w:numPr>
          <w:ilvl w:val="0"/>
          <w:numId w:val="5"/>
        </w:numPr>
      </w:pPr>
      <w:r>
        <w:t xml:space="preserve">It is important to go ‘upstream’ and talk to games developers </w:t>
      </w:r>
      <w:r w:rsidR="00AB4BF8">
        <w:t>and others to understand better where the gaming industry is heading. A research project on this would be useful.</w:t>
      </w:r>
    </w:p>
    <w:p w14:paraId="76A5BBEB" w14:textId="1B1CC217" w:rsidR="00AB4BF8" w:rsidRDefault="00AB4BF8" w:rsidP="00AB4BF8">
      <w:pPr>
        <w:pStyle w:val="ListParagraph"/>
        <w:numPr>
          <w:ilvl w:val="0"/>
          <w:numId w:val="5"/>
        </w:numPr>
      </w:pPr>
      <w:r>
        <w:t>An overarching code of ethics is needed for the industry which includes building harm minimisation protocols into game design.</w:t>
      </w:r>
    </w:p>
    <w:p w14:paraId="394E9CD6" w14:textId="2E624CDE" w:rsidR="00AB4BF8" w:rsidRDefault="00AB4BF8" w:rsidP="00AB4BF8">
      <w:pPr>
        <w:pStyle w:val="ListParagraph"/>
        <w:numPr>
          <w:ilvl w:val="0"/>
          <w:numId w:val="5"/>
        </w:numPr>
      </w:pPr>
      <w:r>
        <w:t>Clarity is needed on GHA’s position on gambling advertising for the submission to the Gambling Review.</w:t>
      </w:r>
      <w:r w:rsidR="007A41E3">
        <w:t xml:space="preserve"> Work streams could be used to develop position statements for the GHA. </w:t>
      </w:r>
    </w:p>
    <w:p w14:paraId="22642DD1" w14:textId="53807963" w:rsidR="00AB4BF8" w:rsidRDefault="00AB4BF8" w:rsidP="00AB4BF8">
      <w:pPr>
        <w:pStyle w:val="ListParagraph"/>
        <w:numPr>
          <w:ilvl w:val="0"/>
          <w:numId w:val="5"/>
        </w:numPr>
      </w:pPr>
      <w:r>
        <w:t>A communications strategy is needed that all members can contribute to</w:t>
      </w:r>
      <w:r w:rsidR="007A41E3">
        <w:t>, covering local, regional and national comms</w:t>
      </w:r>
      <w:r>
        <w:t>. This needs to include engaging gaming influencers.</w:t>
      </w:r>
    </w:p>
    <w:p w14:paraId="2B7B4600" w14:textId="6F22BEB3" w:rsidR="00AB4BF8" w:rsidRDefault="00AB4BF8" w:rsidP="00AB4BF8">
      <w:pPr>
        <w:pStyle w:val="ListParagraph"/>
        <w:numPr>
          <w:ilvl w:val="0"/>
          <w:numId w:val="5"/>
        </w:numPr>
      </w:pPr>
      <w:r>
        <w:t>GHA should look to recruit members working on problem gambling and criminality and also treatment and education.</w:t>
      </w:r>
    </w:p>
    <w:p w14:paraId="48A779FE" w14:textId="28E27FB0" w:rsidR="00AB4BF8" w:rsidRDefault="00AB4BF8" w:rsidP="00AB4BF8">
      <w:pPr>
        <w:pStyle w:val="ListParagraph"/>
        <w:numPr>
          <w:ilvl w:val="0"/>
          <w:numId w:val="5"/>
        </w:numPr>
      </w:pPr>
      <w:r>
        <w:t>GHA should include the voices of people with lived experience – this is an important area of evidence of harm.</w:t>
      </w:r>
    </w:p>
    <w:p w14:paraId="14494F98" w14:textId="3EDD5289" w:rsidR="00AB4BF8" w:rsidRDefault="00AB4BF8" w:rsidP="00AB4BF8">
      <w:pPr>
        <w:pStyle w:val="ListParagraph"/>
        <w:numPr>
          <w:ilvl w:val="0"/>
          <w:numId w:val="5"/>
        </w:numPr>
      </w:pPr>
      <w:r>
        <w:t>GHA sh</w:t>
      </w:r>
      <w:r w:rsidR="007A41E3">
        <w:t>ould promote treatment services, with a focus on reducing stigma and raising awareness.</w:t>
      </w:r>
    </w:p>
    <w:p w14:paraId="588AD8DC" w14:textId="7A8D5A82" w:rsidR="00AB4BF8" w:rsidRDefault="00AB4BF8" w:rsidP="00AB4BF8">
      <w:pPr>
        <w:pStyle w:val="ListParagraph"/>
        <w:numPr>
          <w:ilvl w:val="0"/>
          <w:numId w:val="5"/>
        </w:numPr>
      </w:pPr>
      <w:r>
        <w:t>Students are a key group in this debate.</w:t>
      </w:r>
    </w:p>
    <w:p w14:paraId="1BD627F6" w14:textId="2FD477FD" w:rsidR="00FA0AB7" w:rsidRDefault="00FA0AB7" w:rsidP="00AB4BF8">
      <w:pPr>
        <w:pStyle w:val="ListParagraph"/>
        <w:numPr>
          <w:ilvl w:val="0"/>
          <w:numId w:val="5"/>
        </w:numPr>
      </w:pPr>
      <w:r>
        <w:t xml:space="preserve">Central coordination is needed to avoid duplication of work. </w:t>
      </w:r>
    </w:p>
    <w:p w14:paraId="2240A89C" w14:textId="775E4253" w:rsidR="00AB4BF8" w:rsidRPr="00AB4BF8" w:rsidRDefault="00AB4BF8" w:rsidP="00AB4BF8">
      <w:pPr>
        <w:rPr>
          <w:b/>
          <w:bCs/>
        </w:rPr>
      </w:pPr>
    </w:p>
    <w:p w14:paraId="762369C1" w14:textId="6B321723" w:rsidR="00AB4BF8" w:rsidRPr="00AB4BF8" w:rsidRDefault="00AB4BF8" w:rsidP="00AB4BF8">
      <w:pPr>
        <w:pStyle w:val="ListParagraph"/>
        <w:numPr>
          <w:ilvl w:val="0"/>
          <w:numId w:val="1"/>
        </w:numPr>
      </w:pPr>
      <w:r w:rsidRPr="00AB4BF8">
        <w:rPr>
          <w:b/>
          <w:bCs/>
        </w:rPr>
        <w:t>Member updates</w:t>
      </w:r>
    </w:p>
    <w:p w14:paraId="7BAE96D7" w14:textId="77777777" w:rsidR="00AB4BF8" w:rsidRPr="00AB4BF8" w:rsidRDefault="00AB4BF8" w:rsidP="00AB4BF8">
      <w:pPr>
        <w:pStyle w:val="ListParagraph"/>
        <w:ind w:left="360"/>
      </w:pPr>
    </w:p>
    <w:p w14:paraId="096D9A0E" w14:textId="4CD613B5" w:rsidR="00FA4442" w:rsidRDefault="00AB4BF8" w:rsidP="00FA4442">
      <w:pPr>
        <w:pStyle w:val="ListParagraph"/>
        <w:numPr>
          <w:ilvl w:val="0"/>
          <w:numId w:val="6"/>
        </w:numPr>
      </w:pPr>
      <w:r w:rsidRPr="00AB4BF8">
        <w:t>Emma Ryan presented the work of the Primary Care Gambling Service</w:t>
      </w:r>
      <w:r>
        <w:t xml:space="preserve">. </w:t>
      </w:r>
      <w:r w:rsidR="00FA4442">
        <w:t>Emma explained that a pilot project has been established to treat patients and educate staff. A competency framework has been created for healthcare providers which will be passed to the Royal Colleges for approval in January</w:t>
      </w:r>
      <w:r w:rsidR="00291281">
        <w:t xml:space="preserve"> 2021</w:t>
      </w:r>
      <w:r w:rsidR="00FA4442">
        <w:t>. A simple question in an online questionnaire issued to patients with mental health concerns revealed a surprisingly large number with gambling problems. Emma said she would be interested in presenting the competency framework to a GHA webinar.</w:t>
      </w:r>
    </w:p>
    <w:p w14:paraId="16D75684" w14:textId="77777777" w:rsidR="00FA4442" w:rsidRDefault="00FA4442" w:rsidP="00FA4442">
      <w:pPr>
        <w:pStyle w:val="ListParagraph"/>
        <w:ind w:left="360"/>
      </w:pPr>
    </w:p>
    <w:p w14:paraId="08887639" w14:textId="5536D4B6" w:rsidR="00FA4442" w:rsidRDefault="00FA4442" w:rsidP="00FA4442">
      <w:pPr>
        <w:pStyle w:val="ListParagraph"/>
        <w:numPr>
          <w:ilvl w:val="0"/>
          <w:numId w:val="6"/>
        </w:numPr>
      </w:pPr>
      <w:r>
        <w:t>Tim Bradshaw (YGAM) described the gambling ecosystem using a diagram he had created (see Appendix 2). He particularly highlighted the role of video games influencers who now have a critical role in marketing games directly to consumers.</w:t>
      </w:r>
    </w:p>
    <w:p w14:paraId="338B34E4" w14:textId="31236A43" w:rsidR="00FA4442" w:rsidRPr="00FA4442" w:rsidRDefault="00FA4442" w:rsidP="00FA4442">
      <w:pPr>
        <w:rPr>
          <w:b/>
          <w:bCs/>
        </w:rPr>
      </w:pPr>
    </w:p>
    <w:p w14:paraId="36B05552" w14:textId="2A80E181" w:rsidR="00FA4442" w:rsidRPr="00FA4442" w:rsidRDefault="00FA4442" w:rsidP="00FA4442">
      <w:pPr>
        <w:pStyle w:val="ListParagraph"/>
        <w:numPr>
          <w:ilvl w:val="0"/>
          <w:numId w:val="1"/>
        </w:numPr>
      </w:pPr>
      <w:r w:rsidRPr="00FA4442">
        <w:rPr>
          <w:b/>
          <w:bCs/>
        </w:rPr>
        <w:lastRenderedPageBreak/>
        <w:t>Meeting close</w:t>
      </w:r>
    </w:p>
    <w:p w14:paraId="2D57DBD2" w14:textId="7C142759" w:rsidR="00FA4442" w:rsidRDefault="00FA4442" w:rsidP="00FA4442">
      <w:r w:rsidRPr="00FA4442">
        <w:t>Duncan thanked everyone for attending and closed the AGM.</w:t>
      </w:r>
    </w:p>
    <w:p w14:paraId="394FBEEB" w14:textId="77777777" w:rsidR="001204B8" w:rsidRDefault="001204B8">
      <w:pPr>
        <w:rPr>
          <w:b/>
          <w:bCs/>
        </w:rPr>
      </w:pPr>
    </w:p>
    <w:p w14:paraId="582C0B7E" w14:textId="77777777" w:rsidR="001204B8" w:rsidRDefault="001204B8">
      <w:pPr>
        <w:rPr>
          <w:b/>
          <w:bCs/>
        </w:rPr>
      </w:pPr>
      <w:r>
        <w:rPr>
          <w:b/>
          <w:bCs/>
        </w:rPr>
        <w:t>ACTIONS</w:t>
      </w:r>
    </w:p>
    <w:p w14:paraId="318944AF" w14:textId="77777777" w:rsidR="001204B8" w:rsidRPr="009D7B33" w:rsidRDefault="001204B8" w:rsidP="001204B8">
      <w:pPr>
        <w:pStyle w:val="ListParagraph"/>
        <w:numPr>
          <w:ilvl w:val="0"/>
          <w:numId w:val="10"/>
        </w:numPr>
        <w:rPr>
          <w:bCs/>
        </w:rPr>
      </w:pPr>
      <w:r w:rsidRPr="009D7B33">
        <w:rPr>
          <w:bCs/>
        </w:rPr>
        <w:t xml:space="preserve">GHA to contact members affected by change in level of membership. </w:t>
      </w:r>
    </w:p>
    <w:p w14:paraId="49246259" w14:textId="5E0F9440" w:rsidR="001204B8" w:rsidRPr="009D7B33" w:rsidRDefault="001204B8" w:rsidP="001204B8">
      <w:pPr>
        <w:pStyle w:val="ListParagraph"/>
        <w:numPr>
          <w:ilvl w:val="0"/>
          <w:numId w:val="10"/>
        </w:numPr>
        <w:rPr>
          <w:bCs/>
        </w:rPr>
      </w:pPr>
      <w:r w:rsidRPr="009D7B33">
        <w:rPr>
          <w:bCs/>
        </w:rPr>
        <w:t>GHA to create Steering Group specification</w:t>
      </w:r>
      <w:r w:rsidR="009D7B33" w:rsidRPr="009D7B33">
        <w:rPr>
          <w:bCs/>
        </w:rPr>
        <w:t>, including relationship with GHA,</w:t>
      </w:r>
      <w:r w:rsidRPr="009D7B33">
        <w:rPr>
          <w:bCs/>
        </w:rPr>
        <w:t xml:space="preserve"> and circulate to members with a view to broaden membership of the SG. </w:t>
      </w:r>
    </w:p>
    <w:p w14:paraId="0E7699C8" w14:textId="77777777" w:rsidR="009D7B33" w:rsidRPr="009D7B33" w:rsidRDefault="001204B8" w:rsidP="001204B8">
      <w:pPr>
        <w:pStyle w:val="ListParagraph"/>
        <w:numPr>
          <w:ilvl w:val="0"/>
          <w:numId w:val="10"/>
        </w:numPr>
        <w:rPr>
          <w:bCs/>
        </w:rPr>
      </w:pPr>
      <w:r w:rsidRPr="009D7B33">
        <w:rPr>
          <w:bCs/>
        </w:rPr>
        <w:t xml:space="preserve">GHA to seek input from SG on developing the work streams into interest groups. </w:t>
      </w:r>
    </w:p>
    <w:p w14:paraId="091B2BB6" w14:textId="77777777" w:rsidR="009D7B33" w:rsidRPr="009D7B33" w:rsidRDefault="009D7B33" w:rsidP="009D7B33">
      <w:pPr>
        <w:pStyle w:val="ListParagraph"/>
        <w:numPr>
          <w:ilvl w:val="0"/>
          <w:numId w:val="10"/>
        </w:numPr>
        <w:rPr>
          <w:bCs/>
        </w:rPr>
      </w:pPr>
      <w:r w:rsidRPr="009D7B33">
        <w:rPr>
          <w:bCs/>
        </w:rPr>
        <w:t>Newsletter to include member update</w:t>
      </w:r>
      <w:bookmarkStart w:id="0" w:name="_GoBack"/>
      <w:bookmarkEnd w:id="0"/>
      <w:r w:rsidRPr="009D7B33">
        <w:rPr>
          <w:bCs/>
        </w:rPr>
        <w:t>s.</w:t>
      </w:r>
    </w:p>
    <w:p w14:paraId="7C55C9AE" w14:textId="77777777" w:rsidR="009D7B33" w:rsidRPr="009D7B33" w:rsidRDefault="009D7B33" w:rsidP="009D7B33">
      <w:pPr>
        <w:pStyle w:val="ListParagraph"/>
        <w:numPr>
          <w:ilvl w:val="0"/>
          <w:numId w:val="10"/>
        </w:numPr>
        <w:rPr>
          <w:bCs/>
        </w:rPr>
      </w:pPr>
      <w:r w:rsidRPr="009D7B33">
        <w:rPr>
          <w:bCs/>
        </w:rPr>
        <w:t xml:space="preserve">GHA to work with SG to develop policy position on different issues ahead of Gambling Act review. </w:t>
      </w:r>
    </w:p>
    <w:p w14:paraId="07F64537" w14:textId="77777777" w:rsidR="009D7B33" w:rsidRPr="009D7B33" w:rsidRDefault="009D7B33" w:rsidP="009D7B33">
      <w:pPr>
        <w:pStyle w:val="ListParagraph"/>
        <w:numPr>
          <w:ilvl w:val="0"/>
          <w:numId w:val="10"/>
        </w:numPr>
        <w:rPr>
          <w:bCs/>
        </w:rPr>
      </w:pPr>
      <w:r w:rsidRPr="009D7B33">
        <w:rPr>
          <w:bCs/>
        </w:rPr>
        <w:t>GHA to develop targeted communications strategy.</w:t>
      </w:r>
    </w:p>
    <w:p w14:paraId="2C368D99" w14:textId="2290A51E" w:rsidR="000B2D22" w:rsidRPr="009D7B33" w:rsidRDefault="009D7B33" w:rsidP="009D7B33">
      <w:pPr>
        <w:pStyle w:val="ListParagraph"/>
        <w:numPr>
          <w:ilvl w:val="0"/>
          <w:numId w:val="10"/>
        </w:numPr>
        <w:rPr>
          <w:bCs/>
        </w:rPr>
      </w:pPr>
      <w:r w:rsidRPr="009D7B33">
        <w:rPr>
          <w:bCs/>
        </w:rPr>
        <w:t xml:space="preserve">GHA to approach new members focussing on criminality, lived experience, and students. </w:t>
      </w:r>
    </w:p>
    <w:p w14:paraId="06A485FD" w14:textId="77777777" w:rsidR="009D7B33" w:rsidRDefault="009D7B33" w:rsidP="00FA4442">
      <w:pPr>
        <w:rPr>
          <w:b/>
          <w:bCs/>
        </w:rPr>
      </w:pPr>
    </w:p>
    <w:p w14:paraId="737E52D1" w14:textId="221B2699" w:rsidR="00FA4442" w:rsidRDefault="000B2D22" w:rsidP="00FA4442">
      <w:pPr>
        <w:rPr>
          <w:b/>
          <w:bCs/>
        </w:rPr>
      </w:pPr>
      <w:r w:rsidRPr="000B2D22">
        <w:rPr>
          <w:b/>
          <w:bCs/>
        </w:rPr>
        <w:t>APPENDIX 1</w:t>
      </w:r>
    </w:p>
    <w:p w14:paraId="7127DF4F" w14:textId="322495EF" w:rsidR="000B2D22" w:rsidRDefault="000B2D22" w:rsidP="00FA4442">
      <w:pPr>
        <w:rPr>
          <w:b/>
          <w:bCs/>
        </w:rPr>
      </w:pPr>
      <w:r>
        <w:rPr>
          <w:b/>
          <w:bCs/>
        </w:rPr>
        <w:t>Key findings from the #LidOnLoots survey of young people</w:t>
      </w:r>
    </w:p>
    <w:p w14:paraId="5A62CB9B" w14:textId="77777777" w:rsidR="00ED7667" w:rsidRPr="00ED7667" w:rsidRDefault="00ED7667" w:rsidP="00ED7667">
      <w:pPr>
        <w:pStyle w:val="ListParagraph"/>
        <w:numPr>
          <w:ilvl w:val="0"/>
          <w:numId w:val="8"/>
        </w:numPr>
        <w:spacing w:after="0" w:line="240" w:lineRule="auto"/>
        <w:rPr>
          <w:rFonts w:ascii="Calibri" w:hAnsi="Calibri" w:cs="Calibri"/>
          <w:szCs w:val="24"/>
        </w:rPr>
      </w:pPr>
      <w:r w:rsidRPr="00ED7667">
        <w:rPr>
          <w:rFonts w:ascii="Calibri" w:hAnsi="Calibri" w:cs="Calibri"/>
          <w:szCs w:val="24"/>
        </w:rPr>
        <w:t>Three quarters (76%) thought that loot boxes should be illegal for under 18s to buy.</w:t>
      </w:r>
    </w:p>
    <w:p w14:paraId="5E483A8B" w14:textId="77777777" w:rsidR="00ED7667" w:rsidRPr="00ED7667" w:rsidRDefault="00ED7667" w:rsidP="00ED7667">
      <w:pPr>
        <w:pStyle w:val="ListParagraph"/>
        <w:numPr>
          <w:ilvl w:val="0"/>
          <w:numId w:val="8"/>
        </w:numPr>
        <w:spacing w:after="0" w:line="240" w:lineRule="auto"/>
        <w:rPr>
          <w:rFonts w:ascii="Calibri" w:hAnsi="Calibri" w:cs="Calibri"/>
          <w:szCs w:val="24"/>
        </w:rPr>
      </w:pPr>
      <w:r w:rsidRPr="00ED7667">
        <w:rPr>
          <w:rFonts w:ascii="Calibri" w:hAnsi="Calibri" w:cs="Calibri"/>
          <w:szCs w:val="24"/>
        </w:rPr>
        <w:t xml:space="preserve">The vast majority (91%) view buying a loot box as a form of gambling. This has increased from the 58% of survey respondents from Skins in the Game who classified purchasing a loot box as a form of gambling. </w:t>
      </w:r>
    </w:p>
    <w:p w14:paraId="3ACD86DD" w14:textId="1F4E0736" w:rsidR="00ED7667" w:rsidRPr="00ED7667" w:rsidRDefault="00ED7667" w:rsidP="00ED7667">
      <w:pPr>
        <w:pStyle w:val="ListParagraph"/>
        <w:numPr>
          <w:ilvl w:val="0"/>
          <w:numId w:val="8"/>
        </w:numPr>
        <w:spacing w:after="0" w:line="240" w:lineRule="auto"/>
        <w:rPr>
          <w:rFonts w:ascii="Calibri" w:hAnsi="Calibri" w:cs="Calibri"/>
          <w:szCs w:val="24"/>
        </w:rPr>
      </w:pPr>
      <w:r w:rsidRPr="00ED7667">
        <w:rPr>
          <w:rFonts w:ascii="Calibri" w:hAnsi="Calibri" w:cs="Calibri"/>
          <w:szCs w:val="24"/>
        </w:rPr>
        <w:t>One in ten gamers ‘always’ or ‘often’ sell the it</w:t>
      </w:r>
      <w:r>
        <w:rPr>
          <w:rFonts w:ascii="Calibri" w:hAnsi="Calibri" w:cs="Calibri"/>
          <w:szCs w:val="24"/>
        </w:rPr>
        <w:t>em won in a loot box for money.</w:t>
      </w:r>
    </w:p>
    <w:p w14:paraId="50D8B7CC" w14:textId="77777777" w:rsidR="00ED7667" w:rsidRPr="00ED7667" w:rsidRDefault="00ED7667" w:rsidP="00ED7667">
      <w:pPr>
        <w:pStyle w:val="ListParagraph"/>
        <w:numPr>
          <w:ilvl w:val="0"/>
          <w:numId w:val="8"/>
        </w:numPr>
        <w:spacing w:after="0" w:line="240" w:lineRule="auto"/>
        <w:rPr>
          <w:rFonts w:ascii="Calibri" w:hAnsi="Calibri" w:cs="Calibri"/>
          <w:szCs w:val="24"/>
        </w:rPr>
      </w:pPr>
      <w:r w:rsidRPr="00ED7667">
        <w:rPr>
          <w:rFonts w:ascii="Calibri" w:hAnsi="Calibri" w:cs="Calibri"/>
          <w:szCs w:val="24"/>
        </w:rPr>
        <w:t>Two in five (41%) think spending money on a loot box when under 18 would make them more likely to gamble when older.</w:t>
      </w:r>
    </w:p>
    <w:p w14:paraId="6369C373" w14:textId="4C1B5155" w:rsidR="00ED7667" w:rsidRDefault="00ED7667" w:rsidP="00ED7667">
      <w:pPr>
        <w:pStyle w:val="ListParagraph"/>
        <w:numPr>
          <w:ilvl w:val="0"/>
          <w:numId w:val="8"/>
        </w:numPr>
        <w:spacing w:after="0" w:line="240" w:lineRule="auto"/>
        <w:rPr>
          <w:rFonts w:ascii="Calibri" w:hAnsi="Calibri" w:cs="Calibri"/>
          <w:szCs w:val="24"/>
        </w:rPr>
      </w:pPr>
      <w:r w:rsidRPr="00ED7667">
        <w:rPr>
          <w:rFonts w:ascii="Calibri" w:hAnsi="Calibri" w:cs="Calibri"/>
          <w:szCs w:val="24"/>
        </w:rPr>
        <w:t>Three quarters (75%) feel that buying a loot box is bad for their health, citing feelings of addiction, regret and anger when purchasing loot boxes.</w:t>
      </w:r>
    </w:p>
    <w:p w14:paraId="4F0C0E95" w14:textId="6C5DBB9C" w:rsidR="00EF335A" w:rsidRDefault="00EF335A" w:rsidP="00EF335A">
      <w:pPr>
        <w:spacing w:after="0" w:line="240" w:lineRule="auto"/>
        <w:rPr>
          <w:rFonts w:ascii="Calibri" w:hAnsi="Calibri" w:cs="Calibri"/>
          <w:szCs w:val="24"/>
        </w:rPr>
      </w:pPr>
    </w:p>
    <w:p w14:paraId="62F33559" w14:textId="3A3A2556" w:rsidR="00EF335A" w:rsidRDefault="00EF335A" w:rsidP="00EF335A">
      <w:pPr>
        <w:spacing w:after="0" w:line="240" w:lineRule="auto"/>
        <w:rPr>
          <w:rFonts w:ascii="Calibri" w:hAnsi="Calibri" w:cs="Calibri"/>
          <w:b/>
          <w:szCs w:val="24"/>
        </w:rPr>
      </w:pPr>
      <w:r>
        <w:rPr>
          <w:rFonts w:ascii="Calibri" w:hAnsi="Calibri" w:cs="Calibri"/>
          <w:b/>
          <w:szCs w:val="24"/>
        </w:rPr>
        <w:t>APPENDIX 2</w:t>
      </w:r>
    </w:p>
    <w:p w14:paraId="63B7307A" w14:textId="05CBA92B" w:rsidR="00EF335A" w:rsidRDefault="00EF335A" w:rsidP="00EF335A">
      <w:pPr>
        <w:spacing w:after="0" w:line="240" w:lineRule="auto"/>
        <w:rPr>
          <w:rFonts w:ascii="Calibri" w:hAnsi="Calibri" w:cs="Calibri"/>
          <w:b/>
          <w:szCs w:val="24"/>
        </w:rPr>
      </w:pPr>
    </w:p>
    <w:p w14:paraId="712578DC" w14:textId="3D691048" w:rsidR="00EF335A" w:rsidRDefault="00EF335A" w:rsidP="00EF335A">
      <w:pPr>
        <w:spacing w:after="0" w:line="240" w:lineRule="auto"/>
        <w:rPr>
          <w:rFonts w:ascii="Calibri" w:hAnsi="Calibri" w:cs="Calibri"/>
          <w:b/>
          <w:szCs w:val="24"/>
        </w:rPr>
      </w:pPr>
      <w:r>
        <w:rPr>
          <w:rFonts w:ascii="Calibri" w:hAnsi="Calibri" w:cs="Calibri"/>
          <w:b/>
          <w:szCs w:val="24"/>
        </w:rPr>
        <w:t>Video games eco</w:t>
      </w:r>
      <w:r w:rsidR="00C52DA3">
        <w:rPr>
          <w:rFonts w:ascii="Calibri" w:hAnsi="Calibri" w:cs="Calibri"/>
          <w:b/>
          <w:szCs w:val="24"/>
        </w:rPr>
        <w:t>-system paper and diagram produced by YGAM</w:t>
      </w:r>
    </w:p>
    <w:p w14:paraId="7CF705EA" w14:textId="2BAAE0A3" w:rsidR="00EF335A" w:rsidRDefault="00EF335A" w:rsidP="00EF335A">
      <w:pPr>
        <w:spacing w:after="0" w:line="240" w:lineRule="auto"/>
        <w:rPr>
          <w:rFonts w:ascii="Calibri" w:hAnsi="Calibri" w:cs="Calibri"/>
          <w:b/>
          <w:szCs w:val="24"/>
        </w:rPr>
      </w:pPr>
    </w:p>
    <w:p w14:paraId="33EA2572" w14:textId="1844CA5E" w:rsidR="000B2D22" w:rsidRPr="009D7B33" w:rsidRDefault="00EF335A" w:rsidP="009D7B33">
      <w:pPr>
        <w:spacing w:after="0" w:line="240" w:lineRule="auto"/>
        <w:rPr>
          <w:rFonts w:ascii="Calibri" w:hAnsi="Calibri" w:cs="Calibri"/>
          <w:b/>
          <w:szCs w:val="24"/>
        </w:rPr>
      </w:pPr>
      <w:r>
        <w:rPr>
          <w:noProof/>
          <w:lang w:eastAsia="en-GB"/>
        </w:rPr>
        <w:drawing>
          <wp:inline distT="0" distB="0" distL="0" distR="0" wp14:anchorId="7BA5782C" wp14:editId="563E972B">
            <wp:extent cx="1828800" cy="2628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25094" t="11823" r="42998" b="6601"/>
                    <a:stretch/>
                  </pic:blipFill>
                  <pic:spPr bwMode="auto">
                    <a:xfrm>
                      <a:off x="0" y="0"/>
                      <a:ext cx="1828800" cy="2628900"/>
                    </a:xfrm>
                    <a:prstGeom prst="rect">
                      <a:avLst/>
                    </a:prstGeom>
                    <a:ln>
                      <a:noFill/>
                    </a:ln>
                    <a:extLst>
                      <a:ext uri="{53640926-AAD7-44D8-BBD7-CCE9431645EC}">
                        <a14:shadowObscured xmlns:a14="http://schemas.microsoft.com/office/drawing/2010/main"/>
                      </a:ext>
                    </a:extLst>
                  </pic:spPr>
                </pic:pic>
              </a:graphicData>
            </a:graphic>
          </wp:inline>
        </w:drawing>
      </w:r>
    </w:p>
    <w:sectPr w:rsidR="000B2D22" w:rsidRPr="009D7B33">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68CBB1" w16cex:dateUtc="2020-11-25T12:25:00Z"/>
  <w16cex:commentExtensible w16cex:durableId="2368CBFE" w16cex:dateUtc="2020-11-25T12:26:00Z"/>
  <w16cex:commentExtensible w16cex:durableId="2368CB9D" w16cex:dateUtc="2020-11-25T12:25:00Z"/>
  <w16cex:commentExtensible w16cex:durableId="2368CBCD" w16cex:dateUtc="2020-11-25T12:25:00Z"/>
  <w16cex:commentExtensible w16cex:durableId="2368E0C0" w16cex:dateUtc="2020-11-25T13: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1C2BA1C" w16cid:durableId="2368CBB1"/>
  <w16cid:commentId w16cid:paraId="7C54B04A" w16cid:durableId="2368CBFE"/>
  <w16cid:commentId w16cid:paraId="285B13C0" w16cid:durableId="2368CB9D"/>
  <w16cid:commentId w16cid:paraId="3EB57FD8" w16cid:durableId="2368CBCD"/>
  <w16cid:commentId w16cid:paraId="37DC689F" w16cid:durableId="2368E0C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C7CAF"/>
    <w:multiLevelType w:val="hybridMultilevel"/>
    <w:tmpl w:val="3F1811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412378"/>
    <w:multiLevelType w:val="hybridMultilevel"/>
    <w:tmpl w:val="C06472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7E92D1B"/>
    <w:multiLevelType w:val="hybridMultilevel"/>
    <w:tmpl w:val="4168A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AE7697"/>
    <w:multiLevelType w:val="hybridMultilevel"/>
    <w:tmpl w:val="72885EFE"/>
    <w:lvl w:ilvl="0" w:tplc="9E88650A">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2C93AC6"/>
    <w:multiLevelType w:val="hybridMultilevel"/>
    <w:tmpl w:val="8B5025F0"/>
    <w:lvl w:ilvl="0" w:tplc="ABBE36D2">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E40075D"/>
    <w:multiLevelType w:val="hybridMultilevel"/>
    <w:tmpl w:val="4B08E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546C74"/>
    <w:multiLevelType w:val="hybridMultilevel"/>
    <w:tmpl w:val="8586E752"/>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7" w15:restartNumberingAfterBreak="0">
    <w:nsid w:val="5FB57FEC"/>
    <w:multiLevelType w:val="hybridMultilevel"/>
    <w:tmpl w:val="8D94ECEA"/>
    <w:lvl w:ilvl="0" w:tplc="4352ED48">
      <w:numFmt w:val="bullet"/>
      <w:lvlText w:val="-"/>
      <w:lvlJc w:val="left"/>
      <w:pPr>
        <w:ind w:left="720" w:hanging="360"/>
      </w:pPr>
      <w:rPr>
        <w:rFonts w:ascii="Calibri" w:eastAsiaTheme="minorHAnsi" w:hAnsi="Calibri" w:cstheme="minorBid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BCF44F4"/>
    <w:multiLevelType w:val="hybridMultilevel"/>
    <w:tmpl w:val="145C59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CD6620E"/>
    <w:multiLevelType w:val="hybridMultilevel"/>
    <w:tmpl w:val="FE56D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8"/>
  </w:num>
  <w:num w:numId="4">
    <w:abstractNumId w:val="2"/>
  </w:num>
  <w:num w:numId="5">
    <w:abstractNumId w:val="0"/>
  </w:num>
  <w:num w:numId="6">
    <w:abstractNumId w:val="4"/>
  </w:num>
  <w:num w:numId="7">
    <w:abstractNumId w:val="5"/>
  </w:num>
  <w:num w:numId="8">
    <w:abstractNumId w:val="9"/>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54A"/>
    <w:rsid w:val="000134BA"/>
    <w:rsid w:val="0002208C"/>
    <w:rsid w:val="000958EB"/>
    <w:rsid w:val="000A259D"/>
    <w:rsid w:val="000B2D22"/>
    <w:rsid w:val="000F016C"/>
    <w:rsid w:val="001123B2"/>
    <w:rsid w:val="001204B8"/>
    <w:rsid w:val="001D32CF"/>
    <w:rsid w:val="00264EE0"/>
    <w:rsid w:val="00291281"/>
    <w:rsid w:val="002A4618"/>
    <w:rsid w:val="002E24A1"/>
    <w:rsid w:val="00357307"/>
    <w:rsid w:val="003606DD"/>
    <w:rsid w:val="00372D34"/>
    <w:rsid w:val="003C0F65"/>
    <w:rsid w:val="00406083"/>
    <w:rsid w:val="004350D6"/>
    <w:rsid w:val="00453DE7"/>
    <w:rsid w:val="00461F5E"/>
    <w:rsid w:val="004E1350"/>
    <w:rsid w:val="004F5602"/>
    <w:rsid w:val="00500F5F"/>
    <w:rsid w:val="00570AEA"/>
    <w:rsid w:val="005B2F25"/>
    <w:rsid w:val="00656A09"/>
    <w:rsid w:val="006F6910"/>
    <w:rsid w:val="00701CD5"/>
    <w:rsid w:val="00717CCD"/>
    <w:rsid w:val="0073551A"/>
    <w:rsid w:val="007519B9"/>
    <w:rsid w:val="0077663F"/>
    <w:rsid w:val="007A41E3"/>
    <w:rsid w:val="007D649A"/>
    <w:rsid w:val="007E2E43"/>
    <w:rsid w:val="008759BF"/>
    <w:rsid w:val="00890BA0"/>
    <w:rsid w:val="008C0D77"/>
    <w:rsid w:val="00921820"/>
    <w:rsid w:val="009777FA"/>
    <w:rsid w:val="009D2D45"/>
    <w:rsid w:val="009D7B33"/>
    <w:rsid w:val="009F7562"/>
    <w:rsid w:val="00A116BD"/>
    <w:rsid w:val="00A36581"/>
    <w:rsid w:val="00A4154A"/>
    <w:rsid w:val="00A5066F"/>
    <w:rsid w:val="00AB4BF8"/>
    <w:rsid w:val="00B01BF8"/>
    <w:rsid w:val="00B603FA"/>
    <w:rsid w:val="00B61705"/>
    <w:rsid w:val="00B94810"/>
    <w:rsid w:val="00BE0A99"/>
    <w:rsid w:val="00C017C5"/>
    <w:rsid w:val="00C52DA3"/>
    <w:rsid w:val="00C71526"/>
    <w:rsid w:val="00CC02F8"/>
    <w:rsid w:val="00D12FB6"/>
    <w:rsid w:val="00D5545E"/>
    <w:rsid w:val="00D57F63"/>
    <w:rsid w:val="00D82823"/>
    <w:rsid w:val="00DA1DEF"/>
    <w:rsid w:val="00DA24C8"/>
    <w:rsid w:val="00DD46A8"/>
    <w:rsid w:val="00DF048F"/>
    <w:rsid w:val="00E37CA8"/>
    <w:rsid w:val="00E70529"/>
    <w:rsid w:val="00ED7667"/>
    <w:rsid w:val="00EF335A"/>
    <w:rsid w:val="00F22132"/>
    <w:rsid w:val="00FA0AB7"/>
    <w:rsid w:val="00FA44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F54E3"/>
  <w15:chartTrackingRefBased/>
  <w15:docId w15:val="{DFC93BD6-AA27-4FF1-93FD-152BF98A4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F01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D32CF"/>
    <w:rPr>
      <w:sz w:val="16"/>
      <w:szCs w:val="16"/>
    </w:rPr>
  </w:style>
  <w:style w:type="paragraph" w:styleId="CommentText">
    <w:name w:val="annotation text"/>
    <w:basedOn w:val="Normal"/>
    <w:link w:val="CommentTextChar"/>
    <w:uiPriority w:val="99"/>
    <w:semiHidden/>
    <w:unhideWhenUsed/>
    <w:rsid w:val="001D32CF"/>
    <w:pPr>
      <w:spacing w:line="240" w:lineRule="auto"/>
    </w:pPr>
    <w:rPr>
      <w:sz w:val="20"/>
      <w:szCs w:val="20"/>
    </w:rPr>
  </w:style>
  <w:style w:type="character" w:customStyle="1" w:styleId="CommentTextChar">
    <w:name w:val="Comment Text Char"/>
    <w:basedOn w:val="DefaultParagraphFont"/>
    <w:link w:val="CommentText"/>
    <w:uiPriority w:val="99"/>
    <w:semiHidden/>
    <w:rsid w:val="001D32CF"/>
    <w:rPr>
      <w:sz w:val="20"/>
      <w:szCs w:val="20"/>
    </w:rPr>
  </w:style>
  <w:style w:type="paragraph" w:styleId="CommentSubject">
    <w:name w:val="annotation subject"/>
    <w:basedOn w:val="CommentText"/>
    <w:next w:val="CommentText"/>
    <w:link w:val="CommentSubjectChar"/>
    <w:uiPriority w:val="99"/>
    <w:semiHidden/>
    <w:unhideWhenUsed/>
    <w:rsid w:val="001D32CF"/>
    <w:rPr>
      <w:b/>
      <w:bCs/>
    </w:rPr>
  </w:style>
  <w:style w:type="character" w:customStyle="1" w:styleId="CommentSubjectChar">
    <w:name w:val="Comment Subject Char"/>
    <w:basedOn w:val="CommentTextChar"/>
    <w:link w:val="CommentSubject"/>
    <w:uiPriority w:val="99"/>
    <w:semiHidden/>
    <w:rsid w:val="001D32CF"/>
    <w:rPr>
      <w:b/>
      <w:bCs/>
      <w:sz w:val="20"/>
      <w:szCs w:val="20"/>
    </w:rPr>
  </w:style>
  <w:style w:type="paragraph" w:styleId="BalloonText">
    <w:name w:val="Balloon Text"/>
    <w:basedOn w:val="Normal"/>
    <w:link w:val="BalloonTextChar"/>
    <w:uiPriority w:val="99"/>
    <w:semiHidden/>
    <w:unhideWhenUsed/>
    <w:rsid w:val="001D32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32CF"/>
    <w:rPr>
      <w:rFonts w:ascii="Segoe UI" w:hAnsi="Segoe UI" w:cs="Segoe UI"/>
      <w:sz w:val="18"/>
      <w:szCs w:val="18"/>
    </w:rPr>
  </w:style>
  <w:style w:type="paragraph" w:styleId="ListParagraph">
    <w:name w:val="List Paragraph"/>
    <w:basedOn w:val="Normal"/>
    <w:uiPriority w:val="34"/>
    <w:qFormat/>
    <w:rsid w:val="001D32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9132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microsoft.com/office/2016/09/relationships/commentsIds" Target="commentsIds.xml"/><Relationship Id="rId5" Type="http://schemas.openxmlformats.org/officeDocument/2006/relationships/image" Target="media/image1.png"/><Relationship Id="rId10" Type="http://schemas.microsoft.com/office/2018/08/relationships/commentsExtensible" Target="commentsExtensi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277</TotalTime>
  <Pages>5</Pages>
  <Words>1621</Words>
  <Characters>9240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RSPH</Company>
  <LinksUpToDate>false</LinksUpToDate>
  <CharactersWithSpaces>10840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Louisa Mason</dc:creator>
  <cp:keywords/>
  <dc:description/>
  <cp:lastModifiedBy>Louisa Mason</cp:lastModifiedBy>
  <cp:revision>13</cp:revision>
  <cp:lastPrinted>2020-11-25T09:54:00Z</cp:lastPrinted>
  <dcterms:created xsi:type="dcterms:W3CDTF">2020-11-26T10:09:00Z</dcterms:created>
  <dcterms:modified xsi:type="dcterms:W3CDTF">2020-11-26T14:57:00Z</dcterms:modified>
</cp:coreProperties>
</file>