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0D9E6" w14:textId="5E936E44" w:rsidR="004F5602" w:rsidRDefault="000B2C4F" w:rsidP="00A4154A">
      <w:pPr>
        <w:jc w:val="center"/>
        <w:rPr>
          <w:b/>
          <w:u w:val="single"/>
        </w:rPr>
      </w:pPr>
      <w:r>
        <w:rPr>
          <w:b/>
          <w:u w:val="single"/>
        </w:rPr>
        <w:t>Gambling Health Alliance Member Meeting</w:t>
      </w:r>
      <w:r w:rsidR="00A4154A">
        <w:rPr>
          <w:b/>
          <w:u w:val="single"/>
        </w:rPr>
        <w:br/>
      </w:r>
      <w:r>
        <w:rPr>
          <w:b/>
          <w:u w:val="single"/>
        </w:rPr>
        <w:t>27</w:t>
      </w:r>
      <w:r w:rsidRPr="000B2C4F">
        <w:rPr>
          <w:b/>
          <w:u w:val="single"/>
          <w:vertAlign w:val="superscript"/>
        </w:rPr>
        <w:t>th</w:t>
      </w:r>
      <w:r>
        <w:rPr>
          <w:b/>
          <w:u w:val="single"/>
        </w:rPr>
        <w:t xml:space="preserve"> April 2021, 14:00-15:30</w:t>
      </w:r>
      <w:r w:rsidR="00A4154A">
        <w:rPr>
          <w:b/>
          <w:u w:val="single"/>
        </w:rPr>
        <w:t xml:space="preserve"> </w:t>
      </w:r>
    </w:p>
    <w:p w14:paraId="774CA2D1" w14:textId="46C938B6" w:rsidR="000F016C" w:rsidRDefault="000F016C" w:rsidP="00C71526">
      <w:pPr>
        <w:rPr>
          <w:b/>
        </w:rPr>
      </w:pPr>
      <w:r>
        <w:rPr>
          <w:b/>
        </w:rPr>
        <w:t>Attendees</w:t>
      </w:r>
    </w:p>
    <w:tbl>
      <w:tblPr>
        <w:tblStyle w:val="TableGrid"/>
        <w:tblW w:w="0" w:type="auto"/>
        <w:tblInd w:w="-5" w:type="dxa"/>
        <w:tblLook w:val="04A0" w:firstRow="1" w:lastRow="0" w:firstColumn="1" w:lastColumn="0" w:noHBand="0" w:noVBand="1"/>
      </w:tblPr>
      <w:tblGrid>
        <w:gridCol w:w="2977"/>
        <w:gridCol w:w="6044"/>
      </w:tblGrid>
      <w:tr w:rsidR="000F016C" w14:paraId="3B06961C" w14:textId="77777777" w:rsidTr="00A116BD">
        <w:tc>
          <w:tcPr>
            <w:tcW w:w="2977" w:type="dxa"/>
          </w:tcPr>
          <w:p w14:paraId="025E6B2D" w14:textId="7BEE8836" w:rsidR="001D32CF" w:rsidRPr="001D32CF" w:rsidRDefault="000F016C" w:rsidP="0077663F">
            <w:pPr>
              <w:rPr>
                <w:b/>
                <w:bCs/>
              </w:rPr>
            </w:pPr>
            <w:r w:rsidRPr="001D32CF">
              <w:rPr>
                <w:b/>
                <w:bCs/>
              </w:rPr>
              <w:t>Name</w:t>
            </w:r>
          </w:p>
        </w:tc>
        <w:tc>
          <w:tcPr>
            <w:tcW w:w="6044" w:type="dxa"/>
          </w:tcPr>
          <w:p w14:paraId="7B4256BD" w14:textId="533C090D" w:rsidR="000F016C" w:rsidRPr="001D32CF" w:rsidRDefault="000F016C" w:rsidP="0077663F">
            <w:pPr>
              <w:rPr>
                <w:b/>
                <w:bCs/>
              </w:rPr>
            </w:pPr>
            <w:r w:rsidRPr="001D32CF">
              <w:rPr>
                <w:b/>
                <w:bCs/>
              </w:rPr>
              <w:t>Organisation</w:t>
            </w:r>
          </w:p>
        </w:tc>
      </w:tr>
      <w:tr w:rsidR="000958EB" w14:paraId="1E303029" w14:textId="77777777" w:rsidTr="00A116BD">
        <w:tc>
          <w:tcPr>
            <w:tcW w:w="2977" w:type="dxa"/>
          </w:tcPr>
          <w:p w14:paraId="5534257B" w14:textId="5C30B9EB" w:rsidR="000958EB" w:rsidRPr="00944E69" w:rsidRDefault="000958EB" w:rsidP="000958EB">
            <w:r w:rsidRPr="00944E69">
              <w:t>Agnes Nairn</w:t>
            </w:r>
          </w:p>
        </w:tc>
        <w:tc>
          <w:tcPr>
            <w:tcW w:w="6044" w:type="dxa"/>
          </w:tcPr>
          <w:p w14:paraId="4C8ED28C" w14:textId="54595BB7" w:rsidR="000958EB" w:rsidRPr="00944E69" w:rsidRDefault="000958EB" w:rsidP="000958EB">
            <w:r w:rsidRPr="00944E69">
              <w:t>University of Bristol</w:t>
            </w:r>
          </w:p>
        </w:tc>
      </w:tr>
      <w:tr w:rsidR="000958EB" w14:paraId="205CBB6F" w14:textId="77777777" w:rsidTr="00A116BD">
        <w:tc>
          <w:tcPr>
            <w:tcW w:w="2977" w:type="dxa"/>
          </w:tcPr>
          <w:p w14:paraId="53D5B4DA" w14:textId="77464E6E" w:rsidR="000958EB" w:rsidRPr="00944E69" w:rsidRDefault="000958EB" w:rsidP="000958EB">
            <w:r w:rsidRPr="00944E69">
              <w:t>Alison Mather</w:t>
            </w:r>
          </w:p>
        </w:tc>
        <w:tc>
          <w:tcPr>
            <w:tcW w:w="6044" w:type="dxa"/>
          </w:tcPr>
          <w:p w14:paraId="4887E4AE" w14:textId="4C5D2F40" w:rsidR="000958EB" w:rsidRPr="00944E69" w:rsidRDefault="000958EB" w:rsidP="000958EB">
            <w:r w:rsidRPr="00944E69">
              <w:t>Quaker Action on Alcohol and Drugs</w:t>
            </w:r>
          </w:p>
        </w:tc>
      </w:tr>
      <w:tr w:rsidR="000958EB" w14:paraId="6DC3E650" w14:textId="77777777" w:rsidTr="00A116BD">
        <w:tc>
          <w:tcPr>
            <w:tcW w:w="2977" w:type="dxa"/>
          </w:tcPr>
          <w:p w14:paraId="13D68D56" w14:textId="02B47C7A" w:rsidR="000958EB" w:rsidRPr="00944E69" w:rsidRDefault="00894C34" w:rsidP="000958EB">
            <w:r>
              <w:t>Ali Lutte-Elliott</w:t>
            </w:r>
          </w:p>
        </w:tc>
        <w:tc>
          <w:tcPr>
            <w:tcW w:w="6044" w:type="dxa"/>
          </w:tcPr>
          <w:p w14:paraId="28F8D9AF" w14:textId="1455F35A" w:rsidR="000958EB" w:rsidRPr="00944E69" w:rsidRDefault="00894C34" w:rsidP="000958EB">
            <w:r>
              <w:t>YGAM (observer)</w:t>
            </w:r>
          </w:p>
        </w:tc>
      </w:tr>
      <w:tr w:rsidR="00894C34" w14:paraId="071F21F4" w14:textId="77777777" w:rsidTr="00A116BD">
        <w:tc>
          <w:tcPr>
            <w:tcW w:w="2977" w:type="dxa"/>
          </w:tcPr>
          <w:p w14:paraId="7F55222B" w14:textId="27C7E293" w:rsidR="00894C34" w:rsidRPr="00944E69" w:rsidRDefault="00894C34" w:rsidP="00894C34">
            <w:r w:rsidRPr="00944E69">
              <w:t xml:space="preserve">Anna </w:t>
            </w:r>
            <w:proofErr w:type="spellStart"/>
            <w:r w:rsidRPr="00944E69">
              <w:t>Niemczewski</w:t>
            </w:r>
            <w:proofErr w:type="spellEnd"/>
          </w:p>
        </w:tc>
        <w:tc>
          <w:tcPr>
            <w:tcW w:w="6044" w:type="dxa"/>
          </w:tcPr>
          <w:p w14:paraId="000CD39F" w14:textId="3A4BD913" w:rsidR="00894C34" w:rsidRPr="00944E69" w:rsidRDefault="00894C34" w:rsidP="00894C34">
            <w:proofErr w:type="spellStart"/>
            <w:r w:rsidRPr="00944E69">
              <w:t>BetKnowMore</w:t>
            </w:r>
            <w:proofErr w:type="spellEnd"/>
          </w:p>
        </w:tc>
      </w:tr>
      <w:tr w:rsidR="00894C34" w14:paraId="2BB9DA64" w14:textId="77777777" w:rsidTr="00A116BD">
        <w:tc>
          <w:tcPr>
            <w:tcW w:w="2977" w:type="dxa"/>
          </w:tcPr>
          <w:p w14:paraId="1C6A24D6" w14:textId="388372AC" w:rsidR="00894C34" w:rsidRPr="00944E69" w:rsidRDefault="00894C34" w:rsidP="00894C34">
            <w:r>
              <w:t xml:space="preserve">Charlie </w:t>
            </w:r>
            <w:proofErr w:type="spellStart"/>
            <w:r>
              <w:t>Plucker</w:t>
            </w:r>
            <w:proofErr w:type="spellEnd"/>
          </w:p>
        </w:tc>
        <w:tc>
          <w:tcPr>
            <w:tcW w:w="6044" w:type="dxa"/>
          </w:tcPr>
          <w:p w14:paraId="2F13F564" w14:textId="5604F7C6" w:rsidR="00894C34" w:rsidRPr="00944E69" w:rsidRDefault="00894C34" w:rsidP="00894C34">
            <w:proofErr w:type="spellStart"/>
            <w:r>
              <w:t>GamCare</w:t>
            </w:r>
            <w:proofErr w:type="spellEnd"/>
          </w:p>
        </w:tc>
      </w:tr>
      <w:tr w:rsidR="00894C34" w14:paraId="6697E47D" w14:textId="77777777" w:rsidTr="00A116BD">
        <w:tc>
          <w:tcPr>
            <w:tcW w:w="2977" w:type="dxa"/>
          </w:tcPr>
          <w:p w14:paraId="5CD11306" w14:textId="14046712" w:rsidR="00894C34" w:rsidRPr="00944E69" w:rsidRDefault="00894C34" w:rsidP="00894C34">
            <w:r w:rsidRPr="00944E69">
              <w:t>Christina Marriott</w:t>
            </w:r>
          </w:p>
        </w:tc>
        <w:tc>
          <w:tcPr>
            <w:tcW w:w="6044" w:type="dxa"/>
          </w:tcPr>
          <w:p w14:paraId="5BD3C776" w14:textId="1FA0EAE4" w:rsidR="00894C34" w:rsidRPr="00944E69" w:rsidRDefault="00894C34" w:rsidP="00894C34">
            <w:r w:rsidRPr="00944E69">
              <w:t>RSPH (Acting GHA Chair)</w:t>
            </w:r>
          </w:p>
        </w:tc>
      </w:tr>
      <w:tr w:rsidR="00894C34" w14:paraId="66692CBC" w14:textId="77777777" w:rsidTr="00A116BD">
        <w:tc>
          <w:tcPr>
            <w:tcW w:w="2977" w:type="dxa"/>
          </w:tcPr>
          <w:p w14:paraId="414AABB6" w14:textId="4732E654" w:rsidR="00894C34" w:rsidRPr="00944E69" w:rsidRDefault="00894C34" w:rsidP="00894C34">
            <w:pPr>
              <w:ind w:left="1440" w:hanging="1440"/>
            </w:pPr>
            <w:r>
              <w:t xml:space="preserve">Claire </w:t>
            </w:r>
            <w:proofErr w:type="spellStart"/>
            <w:r>
              <w:t>Gerada</w:t>
            </w:r>
            <w:proofErr w:type="spellEnd"/>
          </w:p>
        </w:tc>
        <w:tc>
          <w:tcPr>
            <w:tcW w:w="6044" w:type="dxa"/>
          </w:tcPr>
          <w:p w14:paraId="68AA4014" w14:textId="04BAE414" w:rsidR="00894C34" w:rsidRPr="00894C34" w:rsidRDefault="00894C34" w:rsidP="00894C34">
            <w:pPr>
              <w:rPr>
                <w:rFonts w:ascii="Calibri" w:hAnsi="Calibri"/>
                <w:color w:val="000000"/>
              </w:rPr>
            </w:pPr>
            <w:r>
              <w:rPr>
                <w:rFonts w:ascii="Calibri" w:hAnsi="Calibri"/>
                <w:color w:val="000000"/>
              </w:rPr>
              <w:t>NHS Riverside Medical Practice</w:t>
            </w:r>
          </w:p>
        </w:tc>
      </w:tr>
      <w:tr w:rsidR="00894C34" w14:paraId="40CF9FB6" w14:textId="77777777" w:rsidTr="00A116BD">
        <w:tc>
          <w:tcPr>
            <w:tcW w:w="2977" w:type="dxa"/>
          </w:tcPr>
          <w:p w14:paraId="0852CE72" w14:textId="1B327B24" w:rsidR="00894C34" w:rsidRDefault="00894C34" w:rsidP="00894C34">
            <w:pPr>
              <w:ind w:left="1440" w:hanging="1440"/>
            </w:pPr>
            <w:r>
              <w:t>Emma Davies</w:t>
            </w:r>
          </w:p>
        </w:tc>
        <w:tc>
          <w:tcPr>
            <w:tcW w:w="6044" w:type="dxa"/>
          </w:tcPr>
          <w:p w14:paraId="6BC6B30B" w14:textId="473FD832" w:rsidR="00894C34" w:rsidRPr="00944E69" w:rsidRDefault="00894C34" w:rsidP="00894C34">
            <w:r>
              <w:t>Parent Zone</w:t>
            </w:r>
          </w:p>
        </w:tc>
      </w:tr>
      <w:tr w:rsidR="00894C34" w14:paraId="382CDFB3" w14:textId="77777777" w:rsidTr="00A116BD">
        <w:tc>
          <w:tcPr>
            <w:tcW w:w="2977" w:type="dxa"/>
          </w:tcPr>
          <w:p w14:paraId="48C1255B" w14:textId="034170BE" w:rsidR="00894C34" w:rsidRPr="00944E69" w:rsidRDefault="00894C34" w:rsidP="00894C34">
            <w:r w:rsidRPr="00944E69">
              <w:t>Emma Ryan</w:t>
            </w:r>
          </w:p>
        </w:tc>
        <w:tc>
          <w:tcPr>
            <w:tcW w:w="6044" w:type="dxa"/>
          </w:tcPr>
          <w:p w14:paraId="34C301E8" w14:textId="008EE39F" w:rsidR="00894C34" w:rsidRPr="00944E69" w:rsidRDefault="00894C34" w:rsidP="00894C34">
            <w:r w:rsidRPr="00944E69">
              <w:t>Primary Care Gambling Service</w:t>
            </w:r>
          </w:p>
        </w:tc>
      </w:tr>
      <w:tr w:rsidR="00894C34" w14:paraId="29618EF1" w14:textId="77777777" w:rsidTr="00A116BD">
        <w:tc>
          <w:tcPr>
            <w:tcW w:w="2977" w:type="dxa"/>
          </w:tcPr>
          <w:p w14:paraId="73905A3C" w14:textId="4707CB1B" w:rsidR="00894C34" w:rsidRPr="00944E69" w:rsidRDefault="00894C34" w:rsidP="00894C34">
            <w:r w:rsidRPr="00944E69">
              <w:t>Gavin McColl</w:t>
            </w:r>
          </w:p>
        </w:tc>
        <w:tc>
          <w:tcPr>
            <w:tcW w:w="6044" w:type="dxa"/>
          </w:tcPr>
          <w:p w14:paraId="03E2A85C" w14:textId="1107B1FD" w:rsidR="00894C34" w:rsidRPr="00944E69" w:rsidRDefault="00894C34" w:rsidP="00894C34">
            <w:r w:rsidRPr="00944E69">
              <w:t>Primary Care Gambling Service</w:t>
            </w:r>
          </w:p>
        </w:tc>
      </w:tr>
      <w:tr w:rsidR="00894C34" w14:paraId="128E3A13" w14:textId="77777777" w:rsidTr="00A116BD">
        <w:tc>
          <w:tcPr>
            <w:tcW w:w="2977" w:type="dxa"/>
          </w:tcPr>
          <w:p w14:paraId="6BD6E702" w14:textId="20F14113" w:rsidR="00894C34" w:rsidRPr="00944E69" w:rsidRDefault="00894C34" w:rsidP="00894C34">
            <w:r w:rsidRPr="00944E69">
              <w:t>Graham England</w:t>
            </w:r>
          </w:p>
        </w:tc>
        <w:tc>
          <w:tcPr>
            <w:tcW w:w="6044" w:type="dxa"/>
          </w:tcPr>
          <w:p w14:paraId="2E6923C6" w14:textId="625A2807" w:rsidR="00894C34" w:rsidRPr="00944E69" w:rsidRDefault="00894C34" w:rsidP="00894C34">
            <w:r w:rsidRPr="00944E69">
              <w:t>Addiction Recovery Agency</w:t>
            </w:r>
          </w:p>
        </w:tc>
      </w:tr>
      <w:tr w:rsidR="00894C34" w14:paraId="4AF4CB7D" w14:textId="77777777" w:rsidTr="00A116BD">
        <w:tc>
          <w:tcPr>
            <w:tcW w:w="2977" w:type="dxa"/>
          </w:tcPr>
          <w:p w14:paraId="1DD92ED9" w14:textId="1F9184C9" w:rsidR="00894C34" w:rsidRPr="00944E69" w:rsidRDefault="00894C34" w:rsidP="00894C34">
            <w:r w:rsidRPr="00944E69">
              <w:t>James Close</w:t>
            </w:r>
          </w:p>
        </w:tc>
        <w:tc>
          <w:tcPr>
            <w:tcW w:w="6044" w:type="dxa"/>
          </w:tcPr>
          <w:p w14:paraId="2FE6F940" w14:textId="29192DAB" w:rsidR="00894C34" w:rsidRPr="00944E69" w:rsidRDefault="00894C34" w:rsidP="00894C34">
            <w:r w:rsidRPr="00944E69">
              <w:t>University of Plymouth</w:t>
            </w:r>
          </w:p>
        </w:tc>
      </w:tr>
      <w:tr w:rsidR="00894C34" w14:paraId="27F621EC" w14:textId="77777777" w:rsidTr="00A116BD">
        <w:tc>
          <w:tcPr>
            <w:tcW w:w="2977" w:type="dxa"/>
          </w:tcPr>
          <w:p w14:paraId="28A24376" w14:textId="4747E6C7" w:rsidR="00894C34" w:rsidRPr="00944E69" w:rsidRDefault="00894C34" w:rsidP="00894C34">
            <w:r w:rsidRPr="00944E69">
              <w:t>Jo Evans</w:t>
            </w:r>
          </w:p>
        </w:tc>
        <w:tc>
          <w:tcPr>
            <w:tcW w:w="6044" w:type="dxa"/>
          </w:tcPr>
          <w:p w14:paraId="7402BC13" w14:textId="2C6D43CD" w:rsidR="00894C34" w:rsidRPr="00944E69" w:rsidRDefault="00894C34" w:rsidP="00894C34">
            <w:r w:rsidRPr="00944E69">
              <w:t>Greater Manchester Combined Authority</w:t>
            </w:r>
          </w:p>
        </w:tc>
      </w:tr>
      <w:tr w:rsidR="00894C34" w14:paraId="276B3DEF" w14:textId="77777777" w:rsidTr="00A116BD">
        <w:tc>
          <w:tcPr>
            <w:tcW w:w="2977" w:type="dxa"/>
          </w:tcPr>
          <w:p w14:paraId="55F9D635" w14:textId="37E4AFCC" w:rsidR="00894C34" w:rsidRPr="00944E69" w:rsidRDefault="00894C34" w:rsidP="00894C34">
            <w:r w:rsidRPr="00944E69">
              <w:t>Julie Daniels</w:t>
            </w:r>
          </w:p>
        </w:tc>
        <w:tc>
          <w:tcPr>
            <w:tcW w:w="6044" w:type="dxa"/>
          </w:tcPr>
          <w:p w14:paraId="6C9B9335" w14:textId="5B38FD00" w:rsidR="00894C34" w:rsidRPr="00944E69" w:rsidRDefault="00894C34" w:rsidP="00894C34">
            <w:r w:rsidRPr="00944E69">
              <w:t>Medway Council</w:t>
            </w:r>
          </w:p>
        </w:tc>
      </w:tr>
      <w:tr w:rsidR="00894C34" w14:paraId="12717C25" w14:textId="77777777" w:rsidTr="00A116BD">
        <w:tc>
          <w:tcPr>
            <w:tcW w:w="2977" w:type="dxa"/>
          </w:tcPr>
          <w:p w14:paraId="1CEDD72E" w14:textId="2E31739D" w:rsidR="00894C34" w:rsidRPr="00944E69" w:rsidRDefault="00894C34" w:rsidP="00894C34">
            <w:pPr>
              <w:ind w:left="1440" w:hanging="1440"/>
            </w:pPr>
            <w:r>
              <w:t>Justyn Larcombe</w:t>
            </w:r>
          </w:p>
        </w:tc>
        <w:tc>
          <w:tcPr>
            <w:tcW w:w="6044" w:type="dxa"/>
          </w:tcPr>
          <w:p w14:paraId="6B64BB47" w14:textId="513418FE" w:rsidR="00894C34" w:rsidRPr="00894C34" w:rsidRDefault="00894C34" w:rsidP="00894C34">
            <w:pPr>
              <w:rPr>
                <w:rFonts w:ascii="Calibri" w:hAnsi="Calibri"/>
                <w:color w:val="000000"/>
              </w:rPr>
            </w:pPr>
            <w:proofErr w:type="spellStart"/>
            <w:r>
              <w:rPr>
                <w:rFonts w:ascii="Calibri" w:hAnsi="Calibri"/>
                <w:color w:val="000000"/>
              </w:rPr>
              <w:t>RecoveryTwo</w:t>
            </w:r>
            <w:proofErr w:type="spellEnd"/>
          </w:p>
        </w:tc>
      </w:tr>
      <w:tr w:rsidR="00894C34" w14:paraId="325F2911" w14:textId="77777777" w:rsidTr="00A116BD">
        <w:tc>
          <w:tcPr>
            <w:tcW w:w="2977" w:type="dxa"/>
          </w:tcPr>
          <w:p w14:paraId="35345892" w14:textId="62CACDD1" w:rsidR="00894C34" w:rsidRPr="00944E69" w:rsidRDefault="00894C34" w:rsidP="00894C34">
            <w:r w:rsidRPr="00944E69">
              <w:t>Katie Fry</w:t>
            </w:r>
          </w:p>
        </w:tc>
        <w:tc>
          <w:tcPr>
            <w:tcW w:w="6044" w:type="dxa"/>
          </w:tcPr>
          <w:p w14:paraId="3436B8E0" w14:textId="1946A5E4" w:rsidR="00894C34" w:rsidRPr="00944E69" w:rsidRDefault="00894C34" w:rsidP="00894C34">
            <w:r w:rsidRPr="00944E69">
              <w:t>Citizens Advice</w:t>
            </w:r>
          </w:p>
        </w:tc>
      </w:tr>
      <w:tr w:rsidR="00894C34" w14:paraId="23F85A0E" w14:textId="77777777" w:rsidTr="00A116BD">
        <w:tc>
          <w:tcPr>
            <w:tcW w:w="2977" w:type="dxa"/>
          </w:tcPr>
          <w:p w14:paraId="344C4679" w14:textId="46C6D4B4" w:rsidR="00894C34" w:rsidRPr="00944E69" w:rsidRDefault="00894C34" w:rsidP="00894C34">
            <w:r w:rsidRPr="00944E69">
              <w:t>Keith Lewis</w:t>
            </w:r>
          </w:p>
        </w:tc>
        <w:tc>
          <w:tcPr>
            <w:tcW w:w="6044" w:type="dxa"/>
          </w:tcPr>
          <w:p w14:paraId="6D384D3F" w14:textId="54DAC6F8" w:rsidR="00894C34" w:rsidRPr="00944E69" w:rsidRDefault="00894C34" w:rsidP="00894C34">
            <w:r w:rsidRPr="00944E69">
              <w:t>Unite the Union</w:t>
            </w:r>
          </w:p>
        </w:tc>
      </w:tr>
      <w:tr w:rsidR="00894C34" w14:paraId="6EE6A6CE" w14:textId="77777777" w:rsidTr="00A116BD">
        <w:tc>
          <w:tcPr>
            <w:tcW w:w="2977" w:type="dxa"/>
          </w:tcPr>
          <w:p w14:paraId="74933B94" w14:textId="58F02900" w:rsidR="00894C34" w:rsidRPr="00944E69" w:rsidRDefault="00894C34" w:rsidP="00894C34">
            <w:pPr>
              <w:ind w:left="1440" w:hanging="1440"/>
            </w:pPr>
            <w:r>
              <w:t>Kishan Patel</w:t>
            </w:r>
          </w:p>
        </w:tc>
        <w:tc>
          <w:tcPr>
            <w:tcW w:w="6044" w:type="dxa"/>
          </w:tcPr>
          <w:p w14:paraId="4F619D91" w14:textId="09C0899E" w:rsidR="00894C34" w:rsidRPr="00944E69" w:rsidRDefault="00894C34" w:rsidP="00894C34">
            <w:proofErr w:type="spellStart"/>
            <w:r>
              <w:t>TalkGen</w:t>
            </w:r>
            <w:proofErr w:type="spellEnd"/>
          </w:p>
        </w:tc>
      </w:tr>
      <w:tr w:rsidR="00894C34" w14:paraId="4C2516E0" w14:textId="77777777" w:rsidTr="00A116BD">
        <w:tc>
          <w:tcPr>
            <w:tcW w:w="2977" w:type="dxa"/>
          </w:tcPr>
          <w:p w14:paraId="7CC8D8E0" w14:textId="1FF0A965" w:rsidR="00894C34" w:rsidRPr="00944E69" w:rsidRDefault="00894C34" w:rsidP="00894C34">
            <w:r w:rsidRPr="00944E69">
              <w:t>Louisa Mason</w:t>
            </w:r>
          </w:p>
        </w:tc>
        <w:tc>
          <w:tcPr>
            <w:tcW w:w="6044" w:type="dxa"/>
          </w:tcPr>
          <w:p w14:paraId="4034FEF0" w14:textId="252B2E76" w:rsidR="00894C34" w:rsidRPr="00944E69" w:rsidRDefault="00894C34" w:rsidP="00894C34">
            <w:r w:rsidRPr="00944E69">
              <w:t>RSPH (GHA Lead)</w:t>
            </w:r>
          </w:p>
        </w:tc>
      </w:tr>
      <w:tr w:rsidR="00894C34" w14:paraId="774862A1" w14:textId="77777777" w:rsidTr="00A116BD">
        <w:tc>
          <w:tcPr>
            <w:tcW w:w="2977" w:type="dxa"/>
          </w:tcPr>
          <w:p w14:paraId="72E0D07A" w14:textId="07AB92B1" w:rsidR="00894C34" w:rsidRPr="00944E69" w:rsidRDefault="00894C34" w:rsidP="00894C34">
            <w:r w:rsidRPr="00944E69">
              <w:t>Michael Viggars</w:t>
            </w:r>
          </w:p>
        </w:tc>
        <w:tc>
          <w:tcPr>
            <w:tcW w:w="6044" w:type="dxa"/>
          </w:tcPr>
          <w:p w14:paraId="35AADF61" w14:textId="12A96159" w:rsidR="00894C34" w:rsidRPr="00944E69" w:rsidRDefault="00894C34" w:rsidP="00894C34">
            <w:r w:rsidRPr="00944E69">
              <w:t>Healthy Stadia</w:t>
            </w:r>
          </w:p>
        </w:tc>
      </w:tr>
      <w:tr w:rsidR="00894C34" w14:paraId="52C2EA4E" w14:textId="77777777" w:rsidTr="00A116BD">
        <w:tc>
          <w:tcPr>
            <w:tcW w:w="2977" w:type="dxa"/>
          </w:tcPr>
          <w:p w14:paraId="4DA0DC5F" w14:textId="512B5434" w:rsidR="00894C34" w:rsidRPr="00944E69" w:rsidRDefault="00894C34" w:rsidP="00894C34">
            <w:r w:rsidRPr="00944E69">
              <w:t>Matthew Philpott</w:t>
            </w:r>
          </w:p>
        </w:tc>
        <w:tc>
          <w:tcPr>
            <w:tcW w:w="6044" w:type="dxa"/>
          </w:tcPr>
          <w:p w14:paraId="2F33013A" w14:textId="550E9991" w:rsidR="00894C34" w:rsidRPr="00944E69" w:rsidRDefault="00894C34" w:rsidP="00894C34">
            <w:r w:rsidRPr="00944E69">
              <w:t>Healthy Stadia</w:t>
            </w:r>
          </w:p>
        </w:tc>
      </w:tr>
      <w:tr w:rsidR="00894C34" w14:paraId="269FD55D" w14:textId="77777777" w:rsidTr="00A116BD">
        <w:tc>
          <w:tcPr>
            <w:tcW w:w="2977" w:type="dxa"/>
          </w:tcPr>
          <w:p w14:paraId="03E27BD6" w14:textId="4AC7CF38" w:rsidR="00894C34" w:rsidRPr="00944E69" w:rsidRDefault="00894C34" w:rsidP="00894C34">
            <w:r w:rsidRPr="00944E69">
              <w:t>Matt Zarb-Cousin</w:t>
            </w:r>
          </w:p>
        </w:tc>
        <w:tc>
          <w:tcPr>
            <w:tcW w:w="6044" w:type="dxa"/>
          </w:tcPr>
          <w:p w14:paraId="22B576EB" w14:textId="6E65747A" w:rsidR="00894C34" w:rsidRPr="00944E69" w:rsidRDefault="00894C34" w:rsidP="00894C34">
            <w:r w:rsidRPr="00944E69">
              <w:t>Clean Up Gambling</w:t>
            </w:r>
          </w:p>
        </w:tc>
      </w:tr>
      <w:tr w:rsidR="00894C34" w14:paraId="658261CE" w14:textId="77777777" w:rsidTr="00A116BD">
        <w:tc>
          <w:tcPr>
            <w:tcW w:w="2977" w:type="dxa"/>
          </w:tcPr>
          <w:p w14:paraId="4D75B22E" w14:textId="1BD29222" w:rsidR="00894C34" w:rsidRPr="00944E69" w:rsidRDefault="00894C34" w:rsidP="00894C34">
            <w:r w:rsidRPr="00944E69">
              <w:t>Meagan Levin</w:t>
            </w:r>
          </w:p>
        </w:tc>
        <w:tc>
          <w:tcPr>
            <w:tcW w:w="6044" w:type="dxa"/>
          </w:tcPr>
          <w:p w14:paraId="37417716" w14:textId="783CEA5B" w:rsidR="00894C34" w:rsidRPr="00944E69" w:rsidRDefault="00894C34" w:rsidP="00894C34">
            <w:r w:rsidRPr="00944E69">
              <w:t>Royal British Legion</w:t>
            </w:r>
          </w:p>
        </w:tc>
      </w:tr>
      <w:tr w:rsidR="00894C34" w14:paraId="7AE2BD7B" w14:textId="77777777" w:rsidTr="00A116BD">
        <w:tc>
          <w:tcPr>
            <w:tcW w:w="2977" w:type="dxa"/>
          </w:tcPr>
          <w:p w14:paraId="20A44B4F" w14:textId="5D0C1247" w:rsidR="00894C34" w:rsidRPr="00944E69" w:rsidRDefault="00894C34" w:rsidP="00894C34">
            <w:r w:rsidRPr="00944E69">
              <w:t>Myrte Elbers</w:t>
            </w:r>
          </w:p>
        </w:tc>
        <w:tc>
          <w:tcPr>
            <w:tcW w:w="6044" w:type="dxa"/>
          </w:tcPr>
          <w:p w14:paraId="59E9D6D0" w14:textId="3326271A" w:rsidR="00894C34" w:rsidRPr="00944E69" w:rsidRDefault="00894C34" w:rsidP="00894C34">
            <w:r w:rsidRPr="00944E69">
              <w:t>Leeds City Council</w:t>
            </w:r>
          </w:p>
        </w:tc>
      </w:tr>
      <w:tr w:rsidR="00894C34" w14:paraId="216156D5" w14:textId="77777777" w:rsidTr="00A116BD">
        <w:tc>
          <w:tcPr>
            <w:tcW w:w="2977" w:type="dxa"/>
          </w:tcPr>
          <w:p w14:paraId="016294CA" w14:textId="7D4120BE" w:rsidR="00894C34" w:rsidRPr="00944E69" w:rsidRDefault="00894C34" w:rsidP="00894C34">
            <w:pPr>
              <w:ind w:left="1440" w:hanging="1440"/>
            </w:pPr>
            <w:r>
              <w:t>Owen Bailey</w:t>
            </w:r>
          </w:p>
        </w:tc>
        <w:tc>
          <w:tcPr>
            <w:tcW w:w="6044" w:type="dxa"/>
          </w:tcPr>
          <w:p w14:paraId="3DF2A99A" w14:textId="67F46E17" w:rsidR="00894C34" w:rsidRPr="00894C34" w:rsidRDefault="00894C34" w:rsidP="00894C34">
            <w:pPr>
              <w:rPr>
                <w:rFonts w:ascii="Calibri" w:hAnsi="Calibri"/>
                <w:color w:val="000000"/>
              </w:rPr>
            </w:pPr>
            <w:r>
              <w:rPr>
                <w:rFonts w:ascii="Calibri" w:hAnsi="Calibri"/>
                <w:color w:val="000000"/>
              </w:rPr>
              <w:t>Citizens Advice North Oxfordshire &amp; South Northants</w:t>
            </w:r>
          </w:p>
        </w:tc>
      </w:tr>
      <w:tr w:rsidR="00894C34" w14:paraId="25161370" w14:textId="77777777" w:rsidTr="00A116BD">
        <w:tc>
          <w:tcPr>
            <w:tcW w:w="2977" w:type="dxa"/>
          </w:tcPr>
          <w:p w14:paraId="0B4FE03C" w14:textId="5600E913" w:rsidR="00894C34" w:rsidRPr="00944E69" w:rsidRDefault="00894C34" w:rsidP="00894C34">
            <w:r>
              <w:t xml:space="preserve">Tom </w:t>
            </w:r>
            <w:proofErr w:type="spellStart"/>
            <w:r>
              <w:t>Addey</w:t>
            </w:r>
            <w:proofErr w:type="spellEnd"/>
          </w:p>
        </w:tc>
        <w:tc>
          <w:tcPr>
            <w:tcW w:w="6044" w:type="dxa"/>
          </w:tcPr>
          <w:p w14:paraId="125A164C" w14:textId="3B191F6C" w:rsidR="00894C34" w:rsidRPr="00944E69" w:rsidRDefault="00894C34" w:rsidP="00894C34">
            <w:r>
              <w:t>ADPH London</w:t>
            </w:r>
          </w:p>
        </w:tc>
      </w:tr>
      <w:tr w:rsidR="00894C34" w14:paraId="015227BA" w14:textId="77777777" w:rsidTr="00A116BD">
        <w:tc>
          <w:tcPr>
            <w:tcW w:w="2977" w:type="dxa"/>
          </w:tcPr>
          <w:p w14:paraId="75C4DDB0" w14:textId="0A26EDA9" w:rsidR="00894C34" w:rsidRPr="00944E69" w:rsidRDefault="00894C34" w:rsidP="00894C34">
            <w:r w:rsidRPr="00944E69">
              <w:t>Victoria Taylor-Smith</w:t>
            </w:r>
          </w:p>
        </w:tc>
        <w:tc>
          <w:tcPr>
            <w:tcW w:w="6044" w:type="dxa"/>
          </w:tcPr>
          <w:p w14:paraId="1C79A240" w14:textId="1278348E" w:rsidR="00894C34" w:rsidRPr="00944E69" w:rsidRDefault="00894C34" w:rsidP="00894C34">
            <w:r w:rsidRPr="00944E69">
              <w:t>White Ribbon Association</w:t>
            </w:r>
          </w:p>
        </w:tc>
      </w:tr>
      <w:tr w:rsidR="00894C34" w14:paraId="027535EB" w14:textId="77777777" w:rsidTr="00A116BD">
        <w:tc>
          <w:tcPr>
            <w:tcW w:w="2977" w:type="dxa"/>
          </w:tcPr>
          <w:p w14:paraId="0E3A35F5" w14:textId="76EF739B" w:rsidR="00894C34" w:rsidRPr="00944E69" w:rsidRDefault="00894C34" w:rsidP="00894C34">
            <w:r w:rsidRPr="00944E69">
              <w:t>Warren Hughes</w:t>
            </w:r>
          </w:p>
        </w:tc>
        <w:tc>
          <w:tcPr>
            <w:tcW w:w="6044" w:type="dxa"/>
          </w:tcPr>
          <w:p w14:paraId="6A34B0F2" w14:textId="2969D1FA" w:rsidR="00894C34" w:rsidRPr="00944E69" w:rsidRDefault="00894C34" w:rsidP="00894C34">
            <w:r w:rsidRPr="00944E69">
              <w:t>Fast Forward</w:t>
            </w:r>
          </w:p>
        </w:tc>
      </w:tr>
      <w:tr w:rsidR="00894C34" w14:paraId="2F238855" w14:textId="77777777" w:rsidTr="00A116BD">
        <w:tc>
          <w:tcPr>
            <w:tcW w:w="2977" w:type="dxa"/>
          </w:tcPr>
          <w:p w14:paraId="25877CC2" w14:textId="27394953" w:rsidR="00894C34" w:rsidRPr="00944E69" w:rsidRDefault="00894C34" w:rsidP="00894C34">
            <w:r>
              <w:t>William Griffiths</w:t>
            </w:r>
          </w:p>
        </w:tc>
        <w:tc>
          <w:tcPr>
            <w:tcW w:w="6044" w:type="dxa"/>
          </w:tcPr>
          <w:p w14:paraId="59C9D5FF" w14:textId="10DA1391" w:rsidR="00894C34" w:rsidRPr="00944E69" w:rsidRDefault="00894C34" w:rsidP="00894C34">
            <w:r>
              <w:t>The ALLIANCE Scotland</w:t>
            </w:r>
          </w:p>
        </w:tc>
      </w:tr>
    </w:tbl>
    <w:p w14:paraId="3080BCF0" w14:textId="72CBB942" w:rsidR="001D32CF" w:rsidRPr="00E70529" w:rsidRDefault="00AD651C" w:rsidP="00AD651C">
      <w:r>
        <w:br/>
      </w:r>
      <w:r w:rsidR="001D32CF" w:rsidRPr="001D32CF">
        <w:rPr>
          <w:b/>
          <w:bCs/>
        </w:rPr>
        <w:t>Apologies</w:t>
      </w:r>
    </w:p>
    <w:tbl>
      <w:tblPr>
        <w:tblStyle w:val="TableGrid"/>
        <w:tblW w:w="0" w:type="auto"/>
        <w:tblInd w:w="-5" w:type="dxa"/>
        <w:tblLook w:val="04A0" w:firstRow="1" w:lastRow="0" w:firstColumn="1" w:lastColumn="0" w:noHBand="0" w:noVBand="1"/>
      </w:tblPr>
      <w:tblGrid>
        <w:gridCol w:w="2977"/>
        <w:gridCol w:w="6044"/>
      </w:tblGrid>
      <w:tr w:rsidR="001D32CF" w14:paraId="065A9453" w14:textId="77777777" w:rsidTr="008C0D77">
        <w:tc>
          <w:tcPr>
            <w:tcW w:w="2977" w:type="dxa"/>
          </w:tcPr>
          <w:p w14:paraId="23E5E92A" w14:textId="02013E9A" w:rsidR="001D32CF" w:rsidRPr="008C0D77" w:rsidRDefault="008C0D77" w:rsidP="0077663F">
            <w:pPr>
              <w:rPr>
                <w:b/>
                <w:bCs/>
              </w:rPr>
            </w:pPr>
            <w:r>
              <w:rPr>
                <w:b/>
                <w:bCs/>
              </w:rPr>
              <w:lastRenderedPageBreak/>
              <w:t>Name</w:t>
            </w:r>
          </w:p>
        </w:tc>
        <w:tc>
          <w:tcPr>
            <w:tcW w:w="6044" w:type="dxa"/>
          </w:tcPr>
          <w:p w14:paraId="462EA41C" w14:textId="4B64E731" w:rsidR="001D32CF" w:rsidRDefault="008C0D77" w:rsidP="0077663F">
            <w:pPr>
              <w:rPr>
                <w:b/>
                <w:bCs/>
              </w:rPr>
            </w:pPr>
            <w:r>
              <w:rPr>
                <w:b/>
                <w:bCs/>
              </w:rPr>
              <w:t>Organisation</w:t>
            </w:r>
          </w:p>
        </w:tc>
      </w:tr>
      <w:tr w:rsidR="00EF6931" w14:paraId="69DCADA7" w14:textId="77777777" w:rsidTr="008C0D77">
        <w:tc>
          <w:tcPr>
            <w:tcW w:w="2977" w:type="dxa"/>
          </w:tcPr>
          <w:p w14:paraId="5BEDA6E2" w14:textId="2FAE5B42" w:rsidR="00EF6931" w:rsidRPr="00EF6931" w:rsidRDefault="00EF6931" w:rsidP="0077663F">
            <w:pPr>
              <w:rPr>
                <w:bCs/>
              </w:rPr>
            </w:pPr>
            <w:r w:rsidRPr="00EF6931">
              <w:rPr>
                <w:bCs/>
              </w:rPr>
              <w:t>Danny Hames</w:t>
            </w:r>
          </w:p>
        </w:tc>
        <w:tc>
          <w:tcPr>
            <w:tcW w:w="6044" w:type="dxa"/>
          </w:tcPr>
          <w:p w14:paraId="4728233D" w14:textId="2EB48E11" w:rsidR="00EF6931" w:rsidRPr="00EF6165" w:rsidRDefault="00EF6165" w:rsidP="0077663F">
            <w:pPr>
              <w:rPr>
                <w:rFonts w:ascii="Calibri" w:hAnsi="Calibri"/>
                <w:color w:val="000000"/>
              </w:rPr>
            </w:pPr>
            <w:r>
              <w:rPr>
                <w:rFonts w:ascii="Calibri" w:hAnsi="Calibri"/>
                <w:color w:val="000000"/>
              </w:rPr>
              <w:t>NHS Substance Misuse Provider</w:t>
            </w:r>
          </w:p>
        </w:tc>
      </w:tr>
      <w:tr w:rsidR="00EF6931" w14:paraId="533734A3" w14:textId="77777777" w:rsidTr="008C0D77">
        <w:tc>
          <w:tcPr>
            <w:tcW w:w="2977" w:type="dxa"/>
          </w:tcPr>
          <w:p w14:paraId="78344586" w14:textId="6451510A" w:rsidR="00EF6931" w:rsidRPr="00EF6931" w:rsidRDefault="00EF6931" w:rsidP="0077663F">
            <w:pPr>
              <w:rPr>
                <w:bCs/>
              </w:rPr>
            </w:pPr>
            <w:r>
              <w:rPr>
                <w:bCs/>
              </w:rPr>
              <w:t>Jan Stewart</w:t>
            </w:r>
          </w:p>
        </w:tc>
        <w:tc>
          <w:tcPr>
            <w:tcW w:w="6044" w:type="dxa"/>
          </w:tcPr>
          <w:p w14:paraId="085C2D01" w14:textId="77460014" w:rsidR="00EF6931" w:rsidRPr="00EF6165" w:rsidRDefault="00EF6165" w:rsidP="0077663F">
            <w:pPr>
              <w:rPr>
                <w:rFonts w:ascii="Calibri" w:hAnsi="Calibri"/>
                <w:color w:val="000000"/>
              </w:rPr>
            </w:pPr>
            <w:r>
              <w:rPr>
                <w:rFonts w:ascii="Calibri" w:hAnsi="Calibri"/>
                <w:color w:val="000000"/>
              </w:rPr>
              <w:t>Citizens Advice Hampshire</w:t>
            </w:r>
          </w:p>
        </w:tc>
      </w:tr>
      <w:tr w:rsidR="00EF6931" w14:paraId="14CC9BAC" w14:textId="77777777" w:rsidTr="008C0D77">
        <w:tc>
          <w:tcPr>
            <w:tcW w:w="2977" w:type="dxa"/>
          </w:tcPr>
          <w:p w14:paraId="240CD893" w14:textId="5C1568B5" w:rsidR="00EF6931" w:rsidRPr="00EF6165" w:rsidRDefault="00EF6931" w:rsidP="0077663F">
            <w:pPr>
              <w:rPr>
                <w:bCs/>
              </w:rPr>
            </w:pPr>
            <w:r w:rsidRPr="00EF6165">
              <w:rPr>
                <w:bCs/>
              </w:rPr>
              <w:t>Maeve Walsh</w:t>
            </w:r>
          </w:p>
        </w:tc>
        <w:tc>
          <w:tcPr>
            <w:tcW w:w="6044" w:type="dxa"/>
          </w:tcPr>
          <w:p w14:paraId="1BDD532D" w14:textId="23655447" w:rsidR="00EF6931" w:rsidRPr="00EF6165" w:rsidRDefault="00EF6165" w:rsidP="0077663F">
            <w:pPr>
              <w:rPr>
                <w:bCs/>
              </w:rPr>
            </w:pPr>
            <w:r w:rsidRPr="00EF6165">
              <w:rPr>
                <w:bCs/>
              </w:rPr>
              <w:t xml:space="preserve">Carnegie </w:t>
            </w:r>
            <w:r>
              <w:rPr>
                <w:bCs/>
              </w:rPr>
              <w:t>UK</w:t>
            </w:r>
          </w:p>
        </w:tc>
      </w:tr>
      <w:tr w:rsidR="00EF6165" w14:paraId="403C6416" w14:textId="77777777" w:rsidTr="008C0D77">
        <w:tc>
          <w:tcPr>
            <w:tcW w:w="2977" w:type="dxa"/>
          </w:tcPr>
          <w:p w14:paraId="12A0DDA3" w14:textId="78B22897" w:rsidR="00EF6165" w:rsidRDefault="00EF6165" w:rsidP="0077663F">
            <w:pPr>
              <w:rPr>
                <w:bCs/>
              </w:rPr>
            </w:pPr>
            <w:r>
              <w:rPr>
                <w:bCs/>
              </w:rPr>
              <w:t>Matthew Hickey</w:t>
            </w:r>
          </w:p>
        </w:tc>
        <w:tc>
          <w:tcPr>
            <w:tcW w:w="6044" w:type="dxa"/>
          </w:tcPr>
          <w:p w14:paraId="40636592" w14:textId="0F550EEB" w:rsidR="00EF6165" w:rsidRPr="00EF6165" w:rsidRDefault="00EF6165" w:rsidP="0077663F">
            <w:pPr>
              <w:rPr>
                <w:rFonts w:ascii="Calibri" w:hAnsi="Calibri"/>
                <w:color w:val="000000"/>
              </w:rPr>
            </w:pPr>
            <w:r>
              <w:rPr>
                <w:rFonts w:ascii="Calibri" w:hAnsi="Calibri"/>
                <w:color w:val="000000"/>
              </w:rPr>
              <w:t>The Gordon Moody Association</w:t>
            </w:r>
          </w:p>
        </w:tc>
      </w:tr>
      <w:tr w:rsidR="00EF6931" w14:paraId="540D4FC4" w14:textId="77777777" w:rsidTr="008C0D77">
        <w:tc>
          <w:tcPr>
            <w:tcW w:w="2977" w:type="dxa"/>
          </w:tcPr>
          <w:p w14:paraId="0C339AF2" w14:textId="0A001607" w:rsidR="00EF6931" w:rsidRPr="00EF6931" w:rsidRDefault="00EF6931" w:rsidP="0077663F">
            <w:pPr>
              <w:rPr>
                <w:rFonts w:ascii="Calibri" w:hAnsi="Calibri"/>
                <w:color w:val="000000"/>
              </w:rPr>
            </w:pPr>
            <w:r>
              <w:rPr>
                <w:rFonts w:ascii="Calibri" w:hAnsi="Calibri"/>
                <w:color w:val="000000"/>
              </w:rPr>
              <w:t>Rachel Lampard</w:t>
            </w:r>
          </w:p>
        </w:tc>
        <w:tc>
          <w:tcPr>
            <w:tcW w:w="6044" w:type="dxa"/>
          </w:tcPr>
          <w:p w14:paraId="32CBEB44" w14:textId="01FCFE92" w:rsidR="00EF6931" w:rsidRPr="00EF6165" w:rsidRDefault="00EF6165" w:rsidP="0077663F">
            <w:pPr>
              <w:rPr>
                <w:rFonts w:ascii="Calibri" w:hAnsi="Calibri"/>
                <w:color w:val="000000"/>
              </w:rPr>
            </w:pPr>
            <w:r>
              <w:rPr>
                <w:rFonts w:ascii="Calibri" w:hAnsi="Calibri"/>
                <w:color w:val="000000"/>
              </w:rPr>
              <w:t>The Methodist Church in Britain</w:t>
            </w:r>
          </w:p>
        </w:tc>
      </w:tr>
      <w:tr w:rsidR="000A259D" w14:paraId="33430F34" w14:textId="77777777" w:rsidTr="008C0D77">
        <w:tc>
          <w:tcPr>
            <w:tcW w:w="2977" w:type="dxa"/>
          </w:tcPr>
          <w:p w14:paraId="7A31275A" w14:textId="0AA7C111" w:rsidR="000A259D" w:rsidRPr="000134BA" w:rsidRDefault="00EF6931" w:rsidP="0077663F">
            <w:pPr>
              <w:rPr>
                <w:bCs/>
              </w:rPr>
            </w:pPr>
            <w:r>
              <w:rPr>
                <w:bCs/>
              </w:rPr>
              <w:t>Robin Pollard</w:t>
            </w:r>
          </w:p>
        </w:tc>
        <w:tc>
          <w:tcPr>
            <w:tcW w:w="6044" w:type="dxa"/>
          </w:tcPr>
          <w:p w14:paraId="4ABF9850" w14:textId="3E4BDFE4" w:rsidR="000A259D" w:rsidRPr="00EF6165" w:rsidRDefault="00EF6165" w:rsidP="00EF6165">
            <w:pPr>
              <w:rPr>
                <w:rFonts w:ascii="Calibri" w:hAnsi="Calibri"/>
                <w:color w:val="000000"/>
              </w:rPr>
            </w:pPr>
            <w:r>
              <w:rPr>
                <w:rFonts w:ascii="Calibri" w:hAnsi="Calibri"/>
                <w:color w:val="000000"/>
              </w:rPr>
              <w:t xml:space="preserve">We are With You </w:t>
            </w:r>
          </w:p>
        </w:tc>
      </w:tr>
    </w:tbl>
    <w:p w14:paraId="6175D70B" w14:textId="77777777" w:rsidR="00EF6165" w:rsidRDefault="00EF6165" w:rsidP="00EF6165">
      <w:pPr>
        <w:pStyle w:val="ListParagraph"/>
        <w:ind w:left="360"/>
        <w:rPr>
          <w:b/>
          <w:bCs/>
        </w:rPr>
      </w:pPr>
    </w:p>
    <w:p w14:paraId="1B2BD9F1" w14:textId="6D90C29B" w:rsidR="001D32CF" w:rsidRDefault="001D32CF" w:rsidP="001D32CF">
      <w:pPr>
        <w:pStyle w:val="ListParagraph"/>
        <w:numPr>
          <w:ilvl w:val="0"/>
          <w:numId w:val="1"/>
        </w:numPr>
        <w:rPr>
          <w:b/>
          <w:bCs/>
        </w:rPr>
      </w:pPr>
      <w:r>
        <w:rPr>
          <w:b/>
          <w:bCs/>
        </w:rPr>
        <w:t>Welcome and overview</w:t>
      </w:r>
    </w:p>
    <w:p w14:paraId="658695DD" w14:textId="1C1657A1" w:rsidR="00AD651C" w:rsidRDefault="00AD651C" w:rsidP="00AD651C">
      <w:pPr>
        <w:rPr>
          <w:bCs/>
        </w:rPr>
      </w:pPr>
      <w:r>
        <w:rPr>
          <w:bCs/>
        </w:rPr>
        <w:t xml:space="preserve">Christina Marriott opened the meeting and welcomed the attendees. It was noted that Christina was stepping in as Acting Chair, that the meeting was being recorded for the purpose of taking notes, and that YGAM were in attendance as an observer. </w:t>
      </w:r>
    </w:p>
    <w:p w14:paraId="202C6ED1" w14:textId="73048965" w:rsidR="00AD651C" w:rsidRPr="00AD651C" w:rsidRDefault="00AD651C" w:rsidP="00AD651C">
      <w:pPr>
        <w:rPr>
          <w:bCs/>
        </w:rPr>
      </w:pPr>
      <w:r>
        <w:rPr>
          <w:bCs/>
        </w:rPr>
        <w:t xml:space="preserve">Christina reflected that the GHA now stands at 48 full members, and that the focus for the first quarter of 2021 has been on responding to the Gambling Act Review. </w:t>
      </w:r>
    </w:p>
    <w:p w14:paraId="3B6C4A52" w14:textId="6CE9816D" w:rsidR="006B6CDC" w:rsidRPr="00AD651C" w:rsidRDefault="00AD651C" w:rsidP="00AD651C">
      <w:pPr>
        <w:rPr>
          <w:i/>
          <w:iCs/>
        </w:rPr>
      </w:pPr>
      <w:r>
        <w:t xml:space="preserve">The Steering Group were asked to make themselves known to the members. </w:t>
      </w:r>
      <w:r w:rsidR="006B6CDC">
        <w:t>The current Steering Group members are:</w:t>
      </w:r>
    </w:p>
    <w:tbl>
      <w:tblPr>
        <w:tblStyle w:val="TableGrid"/>
        <w:tblW w:w="0" w:type="auto"/>
        <w:tblInd w:w="-5" w:type="dxa"/>
        <w:tblLook w:val="04A0" w:firstRow="1" w:lastRow="0" w:firstColumn="1" w:lastColumn="0" w:noHBand="0" w:noVBand="1"/>
      </w:tblPr>
      <w:tblGrid>
        <w:gridCol w:w="2977"/>
        <w:gridCol w:w="6044"/>
      </w:tblGrid>
      <w:tr w:rsidR="006B6CDC" w:rsidRPr="000134BA" w14:paraId="40DC8D2F" w14:textId="77777777" w:rsidTr="006B6CDC">
        <w:tc>
          <w:tcPr>
            <w:tcW w:w="2977" w:type="dxa"/>
          </w:tcPr>
          <w:p w14:paraId="446BF7FE" w14:textId="77777777" w:rsidR="006B6CDC" w:rsidRPr="002E24A1" w:rsidRDefault="006B6CDC" w:rsidP="006B6CDC">
            <w:pPr>
              <w:rPr>
                <w:b/>
                <w:bCs/>
              </w:rPr>
            </w:pPr>
            <w:r w:rsidRPr="002E24A1">
              <w:rPr>
                <w:b/>
                <w:bCs/>
              </w:rPr>
              <w:t>Name</w:t>
            </w:r>
          </w:p>
        </w:tc>
        <w:tc>
          <w:tcPr>
            <w:tcW w:w="6044" w:type="dxa"/>
          </w:tcPr>
          <w:p w14:paraId="7D159AB2" w14:textId="77777777" w:rsidR="006B6CDC" w:rsidRPr="002E24A1" w:rsidRDefault="006B6CDC" w:rsidP="006B6CDC">
            <w:pPr>
              <w:rPr>
                <w:b/>
                <w:bCs/>
              </w:rPr>
            </w:pPr>
            <w:r w:rsidRPr="002E24A1">
              <w:rPr>
                <w:b/>
                <w:bCs/>
              </w:rPr>
              <w:t>Organisation</w:t>
            </w:r>
          </w:p>
        </w:tc>
      </w:tr>
      <w:tr w:rsidR="006B6CDC" w:rsidRPr="000134BA" w14:paraId="33803FFA" w14:textId="77777777" w:rsidTr="006B6CDC">
        <w:tc>
          <w:tcPr>
            <w:tcW w:w="2977" w:type="dxa"/>
          </w:tcPr>
          <w:p w14:paraId="68211AEA" w14:textId="3B2762E4" w:rsidR="006B6CDC" w:rsidRPr="000134BA" w:rsidRDefault="006B6CDC" w:rsidP="006B6CDC">
            <w:pPr>
              <w:rPr>
                <w:bCs/>
              </w:rPr>
            </w:pPr>
            <w:r>
              <w:rPr>
                <w:bCs/>
              </w:rPr>
              <w:t>Emma Ryan</w:t>
            </w:r>
          </w:p>
        </w:tc>
        <w:tc>
          <w:tcPr>
            <w:tcW w:w="6044" w:type="dxa"/>
          </w:tcPr>
          <w:p w14:paraId="591270DA" w14:textId="02ECFB02" w:rsidR="006B6CDC" w:rsidRPr="000134BA" w:rsidRDefault="006B6CDC" w:rsidP="006B6CDC">
            <w:pPr>
              <w:rPr>
                <w:bCs/>
              </w:rPr>
            </w:pPr>
            <w:r w:rsidRPr="00944E69">
              <w:t>Primary Care Gambling Service</w:t>
            </w:r>
          </w:p>
        </w:tc>
      </w:tr>
      <w:tr w:rsidR="006B6CDC" w:rsidRPr="000134BA" w14:paraId="050E0A62" w14:textId="77777777" w:rsidTr="006B6CDC">
        <w:tc>
          <w:tcPr>
            <w:tcW w:w="2977" w:type="dxa"/>
          </w:tcPr>
          <w:p w14:paraId="5A23190F" w14:textId="06AF1CF0" w:rsidR="006B6CDC" w:rsidRPr="000134BA" w:rsidRDefault="006B6CDC" w:rsidP="006B6CDC">
            <w:pPr>
              <w:rPr>
                <w:bCs/>
              </w:rPr>
            </w:pPr>
            <w:r>
              <w:rPr>
                <w:bCs/>
              </w:rPr>
              <w:t>Jo Evans</w:t>
            </w:r>
          </w:p>
        </w:tc>
        <w:tc>
          <w:tcPr>
            <w:tcW w:w="6044" w:type="dxa"/>
          </w:tcPr>
          <w:p w14:paraId="0F8539FB" w14:textId="4FDA3485" w:rsidR="006B6CDC" w:rsidRPr="000134BA" w:rsidRDefault="006B6CDC" w:rsidP="006B6CDC">
            <w:pPr>
              <w:rPr>
                <w:bCs/>
              </w:rPr>
            </w:pPr>
            <w:r w:rsidRPr="00944E69">
              <w:t>Greater Manchester Combined Authority</w:t>
            </w:r>
          </w:p>
        </w:tc>
      </w:tr>
      <w:tr w:rsidR="006B6CDC" w:rsidRPr="000134BA" w14:paraId="49F21CAD" w14:textId="77777777" w:rsidTr="006B6CDC">
        <w:tc>
          <w:tcPr>
            <w:tcW w:w="2977" w:type="dxa"/>
          </w:tcPr>
          <w:p w14:paraId="06B10DEC" w14:textId="77777777" w:rsidR="006B6CDC" w:rsidRPr="000134BA" w:rsidRDefault="006B6CDC" w:rsidP="006B6CDC">
            <w:pPr>
              <w:rPr>
                <w:bCs/>
              </w:rPr>
            </w:pPr>
            <w:r>
              <w:t>Katie Fry</w:t>
            </w:r>
          </w:p>
        </w:tc>
        <w:tc>
          <w:tcPr>
            <w:tcW w:w="6044" w:type="dxa"/>
          </w:tcPr>
          <w:p w14:paraId="516FD2AD" w14:textId="77777777" w:rsidR="006B6CDC" w:rsidRPr="000134BA" w:rsidRDefault="006B6CDC" w:rsidP="006B6CDC">
            <w:pPr>
              <w:rPr>
                <w:bCs/>
              </w:rPr>
            </w:pPr>
            <w:r>
              <w:t>Citizens Advice</w:t>
            </w:r>
          </w:p>
        </w:tc>
      </w:tr>
      <w:tr w:rsidR="006B6CDC" w:rsidRPr="000134BA" w14:paraId="75B32F7A" w14:textId="77777777" w:rsidTr="006B6CDC">
        <w:tc>
          <w:tcPr>
            <w:tcW w:w="2977" w:type="dxa"/>
          </w:tcPr>
          <w:p w14:paraId="6842ECEA" w14:textId="21214D5A" w:rsidR="006B6CDC" w:rsidRDefault="006B6CDC" w:rsidP="006B6CDC">
            <w:r>
              <w:t>Kishan Patel</w:t>
            </w:r>
          </w:p>
        </w:tc>
        <w:tc>
          <w:tcPr>
            <w:tcW w:w="6044" w:type="dxa"/>
          </w:tcPr>
          <w:p w14:paraId="6A87C591" w14:textId="119704F8" w:rsidR="006B6CDC" w:rsidRDefault="006B6CDC" w:rsidP="006B6CDC">
            <w:proofErr w:type="spellStart"/>
            <w:r>
              <w:t>TalkGen</w:t>
            </w:r>
            <w:proofErr w:type="spellEnd"/>
          </w:p>
        </w:tc>
      </w:tr>
      <w:tr w:rsidR="006B6CDC" w:rsidRPr="000134BA" w14:paraId="69ECF64E" w14:textId="77777777" w:rsidTr="006B6CDC">
        <w:tc>
          <w:tcPr>
            <w:tcW w:w="2977" w:type="dxa"/>
          </w:tcPr>
          <w:p w14:paraId="6D048EB9" w14:textId="49D7C81D" w:rsidR="006B6CDC" w:rsidRDefault="006B6CDC" w:rsidP="006B6CDC">
            <w:r>
              <w:t>Matt Zarb-Cousin</w:t>
            </w:r>
          </w:p>
        </w:tc>
        <w:tc>
          <w:tcPr>
            <w:tcW w:w="6044" w:type="dxa"/>
          </w:tcPr>
          <w:p w14:paraId="62E4430B" w14:textId="2C82B0AB" w:rsidR="006B6CDC" w:rsidRDefault="006B6CDC" w:rsidP="006B6CDC">
            <w:r>
              <w:t xml:space="preserve">Clean Up Gambling </w:t>
            </w:r>
          </w:p>
        </w:tc>
      </w:tr>
      <w:tr w:rsidR="006B6CDC" w:rsidRPr="000134BA" w14:paraId="6A70A217" w14:textId="77777777" w:rsidTr="006B6CDC">
        <w:tc>
          <w:tcPr>
            <w:tcW w:w="2977" w:type="dxa"/>
          </w:tcPr>
          <w:p w14:paraId="7631596C" w14:textId="0798E23A" w:rsidR="006B6CDC" w:rsidRDefault="006B6CDC" w:rsidP="006B6CDC">
            <w:r>
              <w:t>Warren Hughes</w:t>
            </w:r>
          </w:p>
        </w:tc>
        <w:tc>
          <w:tcPr>
            <w:tcW w:w="6044" w:type="dxa"/>
          </w:tcPr>
          <w:p w14:paraId="5E40790C" w14:textId="1393385E" w:rsidR="006B6CDC" w:rsidRDefault="006B6CDC" w:rsidP="006B6CDC">
            <w:r>
              <w:t>Fast Forward</w:t>
            </w:r>
          </w:p>
        </w:tc>
      </w:tr>
    </w:tbl>
    <w:p w14:paraId="3AB1CFE2" w14:textId="77777777" w:rsidR="006B6CDC" w:rsidRPr="006B6CDC" w:rsidRDefault="006B6CDC" w:rsidP="006B6CDC">
      <w:pPr>
        <w:rPr>
          <w:b/>
          <w:bCs/>
        </w:rPr>
      </w:pPr>
    </w:p>
    <w:p w14:paraId="63A68531" w14:textId="115F5ABD" w:rsidR="00AD651C" w:rsidRPr="00AD651C" w:rsidRDefault="006B6CDC" w:rsidP="00AD651C">
      <w:pPr>
        <w:pStyle w:val="ListParagraph"/>
        <w:numPr>
          <w:ilvl w:val="0"/>
          <w:numId w:val="1"/>
        </w:numPr>
        <w:rPr>
          <w:b/>
        </w:rPr>
      </w:pPr>
      <w:r w:rsidRPr="006B6CDC">
        <w:rPr>
          <w:b/>
        </w:rPr>
        <w:lastRenderedPageBreak/>
        <w:t>Gambling Act Review             </w:t>
      </w:r>
    </w:p>
    <w:p w14:paraId="6A9A54FC" w14:textId="77777777" w:rsidR="00283F1B" w:rsidRDefault="00AD651C" w:rsidP="00AD651C">
      <w:pPr>
        <w:rPr>
          <w:b/>
        </w:rPr>
      </w:pPr>
      <w:r>
        <w:t>Louisa Mason recapped the GHA</w:t>
      </w:r>
      <w:r w:rsidR="00283F1B">
        <w:t xml:space="preserve">’s Gambling Act Review recommendations. </w:t>
      </w:r>
      <w:r w:rsidR="006B6CDC" w:rsidRPr="00AD651C">
        <w:rPr>
          <w:b/>
        </w:rPr>
        <w:t>   </w:t>
      </w:r>
    </w:p>
    <w:p w14:paraId="3DBB3F82" w14:textId="77777777" w:rsidR="00283F1B" w:rsidRDefault="00283F1B" w:rsidP="00283F1B">
      <w:r>
        <w:t xml:space="preserve">Safer products: </w:t>
      </w:r>
    </w:p>
    <w:p w14:paraId="538030A6" w14:textId="77777777" w:rsidR="00283F1B" w:rsidRPr="00723E9B" w:rsidRDefault="00283F1B" w:rsidP="00283F1B">
      <w:pPr>
        <w:pStyle w:val="ListParagraph"/>
        <w:numPr>
          <w:ilvl w:val="0"/>
          <w:numId w:val="11"/>
        </w:numPr>
      </w:pPr>
      <w:r w:rsidRPr="00723E9B">
        <w:t>£2 limit to online slots</w:t>
      </w:r>
    </w:p>
    <w:p w14:paraId="77D722A6" w14:textId="77777777" w:rsidR="00283F1B" w:rsidRPr="00723E9B" w:rsidRDefault="00283F1B" w:rsidP="00283F1B">
      <w:pPr>
        <w:pStyle w:val="ListParagraph"/>
        <w:numPr>
          <w:ilvl w:val="0"/>
          <w:numId w:val="11"/>
        </w:numPr>
      </w:pPr>
      <w:r w:rsidRPr="00723E9B">
        <w:t>Stake limits to online non-slot gambling content determined according to the speed of play</w:t>
      </w:r>
    </w:p>
    <w:p w14:paraId="13592C0D" w14:textId="77777777" w:rsidR="00283F1B" w:rsidRPr="00723E9B" w:rsidRDefault="00283F1B" w:rsidP="00283F1B">
      <w:pPr>
        <w:pStyle w:val="ListParagraph"/>
        <w:numPr>
          <w:ilvl w:val="0"/>
          <w:numId w:val="11"/>
        </w:numPr>
      </w:pPr>
      <w:r w:rsidRPr="00723E9B">
        <w:rPr>
          <w:rFonts w:cs="OJNFC V+ Helvetica Neue LT Std"/>
          <w:color w:val="000000"/>
        </w:rPr>
        <w:t>Limits to online casino content</w:t>
      </w:r>
    </w:p>
    <w:p w14:paraId="5EFB9802" w14:textId="77777777" w:rsidR="00283F1B" w:rsidRPr="00723E9B" w:rsidRDefault="00283F1B" w:rsidP="00283F1B">
      <w:pPr>
        <w:pStyle w:val="ListParagraph"/>
        <w:numPr>
          <w:ilvl w:val="0"/>
          <w:numId w:val="11"/>
        </w:numPr>
      </w:pPr>
      <w:r w:rsidRPr="00723E9B">
        <w:rPr>
          <w:rFonts w:cs="OJNFC V+ Helvetica Neue LT Std"/>
          <w:color w:val="000000"/>
        </w:rPr>
        <w:t>Soft cap of £100 per month on net deposits reviewed frequently to account for inflation</w:t>
      </w:r>
    </w:p>
    <w:p w14:paraId="750361C9" w14:textId="77777777" w:rsidR="00283F1B" w:rsidRPr="00723E9B" w:rsidRDefault="00283F1B" w:rsidP="00283F1B">
      <w:pPr>
        <w:pStyle w:val="ListParagraph"/>
        <w:numPr>
          <w:ilvl w:val="0"/>
          <w:numId w:val="11"/>
        </w:numPr>
      </w:pPr>
      <w:r w:rsidRPr="00723E9B">
        <w:rPr>
          <w:rFonts w:cs="OJNFC V+ Helvetica Neue LT Std"/>
          <w:color w:val="000000"/>
        </w:rPr>
        <w:t>All new gambling products classified and licensed according to a series of harm indicators</w:t>
      </w:r>
    </w:p>
    <w:p w14:paraId="1DCB4CCA" w14:textId="77777777" w:rsidR="00283F1B" w:rsidRPr="00723E9B" w:rsidRDefault="00283F1B" w:rsidP="00283F1B">
      <w:pPr>
        <w:pStyle w:val="ListParagraph"/>
        <w:numPr>
          <w:ilvl w:val="0"/>
          <w:numId w:val="11"/>
        </w:numPr>
      </w:pPr>
      <w:r w:rsidRPr="00723E9B">
        <w:t>Reduce reliance on the ‘responsible gambling’ narrative and provide messaging about the risk of products</w:t>
      </w:r>
    </w:p>
    <w:p w14:paraId="1B4DA319" w14:textId="77777777" w:rsidR="00283F1B" w:rsidRDefault="00283F1B" w:rsidP="00283F1B">
      <w:pPr>
        <w:pStyle w:val="ListParagraph"/>
        <w:numPr>
          <w:ilvl w:val="0"/>
          <w:numId w:val="11"/>
        </w:numPr>
      </w:pPr>
      <w:r w:rsidRPr="00723E9B">
        <w:t>Loot boxes in video games classed as a form of gambling</w:t>
      </w:r>
    </w:p>
    <w:p w14:paraId="0C76B506" w14:textId="77777777" w:rsidR="00283F1B" w:rsidRDefault="00283F1B" w:rsidP="00283F1B">
      <w:r>
        <w:t>Restricted access:</w:t>
      </w:r>
    </w:p>
    <w:p w14:paraId="410B70D6" w14:textId="77777777" w:rsidR="00283F1B" w:rsidRPr="00CC444A" w:rsidRDefault="00283F1B" w:rsidP="00283F1B">
      <w:pPr>
        <w:pStyle w:val="ListParagraph"/>
        <w:numPr>
          <w:ilvl w:val="0"/>
          <w:numId w:val="12"/>
        </w:numPr>
      </w:pPr>
      <w:r w:rsidRPr="00CC444A">
        <w:t xml:space="preserve">Affordability checks for all gamblers, standardised across operators, with data shared between providers </w:t>
      </w:r>
    </w:p>
    <w:p w14:paraId="6EF48A6C" w14:textId="77777777" w:rsidR="00283F1B" w:rsidRPr="00CC444A" w:rsidRDefault="00283F1B" w:rsidP="00283F1B">
      <w:pPr>
        <w:pStyle w:val="ListParagraph"/>
        <w:numPr>
          <w:ilvl w:val="0"/>
          <w:numId w:val="12"/>
        </w:numPr>
      </w:pPr>
      <w:r w:rsidRPr="00CC444A">
        <w:lastRenderedPageBreak/>
        <w:t>End promotional offers, including VIP schemes</w:t>
      </w:r>
    </w:p>
    <w:p w14:paraId="366F326B" w14:textId="77777777" w:rsidR="00283F1B" w:rsidRPr="00CC444A" w:rsidRDefault="00283F1B" w:rsidP="00283F1B">
      <w:pPr>
        <w:pStyle w:val="ListParagraph"/>
        <w:numPr>
          <w:ilvl w:val="0"/>
          <w:numId w:val="12"/>
        </w:numPr>
      </w:pPr>
      <w:r w:rsidRPr="00CC444A">
        <w:t xml:space="preserve">Operators to strictly adhere to self-exclusion schemes </w:t>
      </w:r>
    </w:p>
    <w:p w14:paraId="62EDFCF9" w14:textId="77777777" w:rsidR="00283F1B" w:rsidRPr="00CC444A" w:rsidRDefault="00283F1B" w:rsidP="00283F1B">
      <w:pPr>
        <w:pStyle w:val="ListParagraph"/>
        <w:numPr>
          <w:ilvl w:val="0"/>
          <w:numId w:val="12"/>
        </w:numPr>
      </w:pPr>
      <w:r w:rsidRPr="00CC444A">
        <w:t>Enforcement of age verification checks</w:t>
      </w:r>
    </w:p>
    <w:p w14:paraId="5F0ECEF2" w14:textId="77777777" w:rsidR="00283F1B" w:rsidRPr="00CC444A" w:rsidRDefault="00283F1B" w:rsidP="00283F1B">
      <w:pPr>
        <w:pStyle w:val="ListParagraph"/>
        <w:numPr>
          <w:ilvl w:val="0"/>
          <w:numId w:val="12"/>
        </w:numPr>
      </w:pPr>
      <w:r w:rsidRPr="00CC444A">
        <w:t>No gambling for under 18s</w:t>
      </w:r>
    </w:p>
    <w:p w14:paraId="562608BB" w14:textId="77777777" w:rsidR="00283F1B" w:rsidRPr="00CC444A" w:rsidRDefault="00283F1B" w:rsidP="00283F1B">
      <w:pPr>
        <w:pStyle w:val="ListParagraph"/>
        <w:numPr>
          <w:ilvl w:val="0"/>
          <w:numId w:val="12"/>
        </w:numPr>
      </w:pPr>
      <w:r w:rsidRPr="00CC444A">
        <w:t>Duty of care for operators to protect consumers from harm</w:t>
      </w:r>
    </w:p>
    <w:p w14:paraId="0C29E094" w14:textId="77777777" w:rsidR="00283F1B" w:rsidRPr="00CC444A" w:rsidRDefault="00283F1B" w:rsidP="00283F1B">
      <w:pPr>
        <w:pStyle w:val="ListParagraph"/>
        <w:numPr>
          <w:ilvl w:val="0"/>
          <w:numId w:val="12"/>
        </w:numPr>
      </w:pPr>
      <w:r w:rsidRPr="00CC444A">
        <w:t>Public health embedded in licensing objectives</w:t>
      </w:r>
    </w:p>
    <w:p w14:paraId="3D993DCC" w14:textId="77777777" w:rsidR="00283F1B" w:rsidRDefault="00283F1B" w:rsidP="00283F1B">
      <w:r>
        <w:t>A limit on promotions:</w:t>
      </w:r>
    </w:p>
    <w:p w14:paraId="3AE47F25" w14:textId="77777777" w:rsidR="00283F1B" w:rsidRPr="00CC444A" w:rsidRDefault="00283F1B" w:rsidP="00283F1B">
      <w:pPr>
        <w:pStyle w:val="ListParagraph"/>
        <w:numPr>
          <w:ilvl w:val="0"/>
          <w:numId w:val="12"/>
        </w:numPr>
      </w:pPr>
      <w:r w:rsidRPr="00CC444A">
        <w:t xml:space="preserve">Ban gambling advertising and sponsorship in sport, including sports venues and eSports  </w:t>
      </w:r>
    </w:p>
    <w:p w14:paraId="6AEE8595" w14:textId="77777777" w:rsidR="00283F1B" w:rsidRPr="00CC444A" w:rsidRDefault="00283F1B" w:rsidP="00283F1B">
      <w:pPr>
        <w:pStyle w:val="ListParagraph"/>
        <w:numPr>
          <w:ilvl w:val="0"/>
          <w:numId w:val="12"/>
        </w:numPr>
      </w:pPr>
      <w:r w:rsidRPr="00CC444A">
        <w:t>Tighter rules around advertising in-game purchases</w:t>
      </w:r>
    </w:p>
    <w:p w14:paraId="5B87887C" w14:textId="77777777" w:rsidR="00283F1B" w:rsidRPr="00CC444A" w:rsidRDefault="00283F1B" w:rsidP="00283F1B">
      <w:pPr>
        <w:pStyle w:val="ListParagraph"/>
        <w:numPr>
          <w:ilvl w:val="0"/>
          <w:numId w:val="12"/>
        </w:numPr>
      </w:pPr>
      <w:r w:rsidRPr="00CC444A">
        <w:t xml:space="preserve">Prohibit advertising and marketing which persuades people to start gambling, to gamble more, or to gamble with additional operators </w:t>
      </w:r>
    </w:p>
    <w:p w14:paraId="798BD17D" w14:textId="282A94BA" w:rsidR="00283F1B" w:rsidRPr="00CC444A" w:rsidRDefault="00283F1B" w:rsidP="00283F1B">
      <w:pPr>
        <w:pStyle w:val="ListParagraph"/>
        <w:numPr>
          <w:ilvl w:val="0"/>
          <w:numId w:val="12"/>
        </w:numPr>
      </w:pPr>
      <w:r w:rsidRPr="00CC444A">
        <w:t>Limit children’s exposure to gambling advertising by determining where children are exposed</w:t>
      </w:r>
      <w:r w:rsidR="00582B43">
        <w:t xml:space="preserve"> to it</w:t>
      </w:r>
      <w:r w:rsidRPr="00CC444A">
        <w:t>, then introducing restrictions, which may include limits to broadcast, online, streaming and social media advertising</w:t>
      </w:r>
    </w:p>
    <w:p w14:paraId="03F09D74" w14:textId="77777777" w:rsidR="00283F1B" w:rsidRPr="00CC444A" w:rsidRDefault="00283F1B" w:rsidP="00283F1B">
      <w:pPr>
        <w:pStyle w:val="ListParagraph"/>
        <w:numPr>
          <w:ilvl w:val="0"/>
          <w:numId w:val="12"/>
        </w:numPr>
      </w:pPr>
      <w:r w:rsidRPr="00CC444A">
        <w:t>Ultimately, an end to all gambling advertising, sponsorship and promotion</w:t>
      </w:r>
    </w:p>
    <w:p w14:paraId="40D51420" w14:textId="77777777" w:rsidR="00283F1B" w:rsidRDefault="00283F1B" w:rsidP="00283F1B">
      <w:r>
        <w:lastRenderedPageBreak/>
        <w:t>Adopting public health principles:</w:t>
      </w:r>
    </w:p>
    <w:p w14:paraId="4971F72D" w14:textId="4197B067" w:rsidR="00283F1B" w:rsidRPr="00CC444A" w:rsidRDefault="00283F1B" w:rsidP="00283F1B">
      <w:pPr>
        <w:pStyle w:val="ListParagraph"/>
        <w:numPr>
          <w:ilvl w:val="0"/>
          <w:numId w:val="13"/>
        </w:numPr>
      </w:pPr>
      <w:r w:rsidRPr="00CC444A">
        <w:t>Education and awareness raising, including through the new Relationships and Sex Education (RSE) and Health Education curricul</w:t>
      </w:r>
      <w:r w:rsidR="00582B43">
        <w:t>a</w:t>
      </w:r>
      <w:r w:rsidRPr="00CC444A">
        <w:t xml:space="preserve"> </w:t>
      </w:r>
    </w:p>
    <w:p w14:paraId="3424543D" w14:textId="77777777" w:rsidR="00283F1B" w:rsidRPr="00CC444A" w:rsidRDefault="00283F1B" w:rsidP="00283F1B">
      <w:pPr>
        <w:pStyle w:val="ListParagraph"/>
        <w:numPr>
          <w:ilvl w:val="0"/>
          <w:numId w:val="13"/>
        </w:numPr>
      </w:pPr>
      <w:r w:rsidRPr="00CC444A">
        <w:t>Longitudinal data collection through the reinstatement of triennial reviews</w:t>
      </w:r>
    </w:p>
    <w:p w14:paraId="70C0684C" w14:textId="77777777" w:rsidR="00283F1B" w:rsidRPr="00CC444A" w:rsidRDefault="00283F1B" w:rsidP="00283F1B">
      <w:pPr>
        <w:pStyle w:val="ListParagraph"/>
        <w:numPr>
          <w:ilvl w:val="0"/>
          <w:numId w:val="13"/>
        </w:numPr>
      </w:pPr>
      <w:r w:rsidRPr="00CC444A">
        <w:t>Protection at the population level with a definition of those who are at risk or ‘vulnerable’ in order to aid fulfilment of the third licensing objective of the 2005 Gambling Act</w:t>
      </w:r>
    </w:p>
    <w:p w14:paraId="206E1808" w14:textId="77777777" w:rsidR="00283F1B" w:rsidRPr="00CC444A" w:rsidRDefault="00283F1B" w:rsidP="00283F1B">
      <w:pPr>
        <w:pStyle w:val="ListParagraph"/>
        <w:numPr>
          <w:ilvl w:val="0"/>
          <w:numId w:val="13"/>
        </w:numPr>
      </w:pPr>
      <w:r w:rsidRPr="00CC444A">
        <w:t>Integrated and comprehensive treatment provision</w:t>
      </w:r>
    </w:p>
    <w:p w14:paraId="3A9CBE74" w14:textId="77777777" w:rsidR="00283F1B" w:rsidRPr="00CC444A" w:rsidRDefault="00283F1B" w:rsidP="00283F1B">
      <w:pPr>
        <w:pStyle w:val="ListParagraph"/>
        <w:numPr>
          <w:ilvl w:val="0"/>
          <w:numId w:val="13"/>
        </w:numPr>
      </w:pPr>
      <w:r w:rsidRPr="00CC444A">
        <w:t>Health commissioning to include gambling harms</w:t>
      </w:r>
    </w:p>
    <w:p w14:paraId="2A432FEC" w14:textId="77777777" w:rsidR="00283F1B" w:rsidRPr="00CC444A" w:rsidRDefault="00283F1B" w:rsidP="00283F1B">
      <w:pPr>
        <w:pStyle w:val="ListParagraph"/>
        <w:numPr>
          <w:ilvl w:val="0"/>
          <w:numId w:val="13"/>
        </w:numPr>
      </w:pPr>
      <w:r w:rsidRPr="00CC444A">
        <w:t xml:space="preserve">Smart industry levy to fund research, education and treatment  </w:t>
      </w:r>
    </w:p>
    <w:p w14:paraId="6E924B05" w14:textId="77777777" w:rsidR="00283F1B" w:rsidRPr="00CC444A" w:rsidRDefault="00283F1B" w:rsidP="00283F1B">
      <w:pPr>
        <w:pStyle w:val="ListParagraph"/>
        <w:numPr>
          <w:ilvl w:val="0"/>
          <w:numId w:val="13"/>
        </w:numPr>
      </w:pPr>
      <w:r w:rsidRPr="00CC444A">
        <w:t xml:space="preserve">Cross departmental collaboration between DCMS, DHSC, </w:t>
      </w:r>
      <w:proofErr w:type="spellStart"/>
      <w:r w:rsidRPr="00CC444A">
        <w:t>DfE</w:t>
      </w:r>
      <w:proofErr w:type="spellEnd"/>
      <w:r w:rsidRPr="00CC444A">
        <w:t xml:space="preserve">, the Treasury, the Home Office and the </w:t>
      </w:r>
      <w:proofErr w:type="spellStart"/>
      <w:r w:rsidRPr="00CC444A">
        <w:t>MoJ</w:t>
      </w:r>
      <w:proofErr w:type="spellEnd"/>
    </w:p>
    <w:p w14:paraId="7D54FA4B" w14:textId="77777777" w:rsidR="00283F1B" w:rsidRPr="00801E0D" w:rsidRDefault="00283F1B" w:rsidP="00283F1B">
      <w:pPr>
        <w:pStyle w:val="ListParagraph"/>
        <w:numPr>
          <w:ilvl w:val="0"/>
          <w:numId w:val="13"/>
        </w:numPr>
      </w:pPr>
      <w:r w:rsidRPr="00CC444A">
        <w:t>Implement these recommendations as part of a gambling harm prevention strategy that protects the public, those at risk, those experiencing harm, and affected others</w:t>
      </w:r>
    </w:p>
    <w:p w14:paraId="1C98D8F3" w14:textId="5682B239" w:rsidR="006B6CDC" w:rsidRPr="00AD651C" w:rsidRDefault="00283F1B" w:rsidP="00AD651C">
      <w:pPr>
        <w:rPr>
          <w:b/>
        </w:rPr>
      </w:pPr>
      <w:r>
        <w:lastRenderedPageBreak/>
        <w:t xml:space="preserve">Louisa noted that many GHA members were well aligned in calling for the Review to take a public health approach. </w:t>
      </w:r>
      <w:r w:rsidR="006B6CDC" w:rsidRPr="00AD651C">
        <w:rPr>
          <w:b/>
        </w:rPr>
        <w:t xml:space="preserve">                                        </w:t>
      </w:r>
    </w:p>
    <w:p w14:paraId="2EC7B0F4" w14:textId="63EDB610" w:rsidR="006B6CDC" w:rsidRDefault="006B6CDC" w:rsidP="006B6CDC">
      <w:pPr>
        <w:pStyle w:val="ListParagraph"/>
        <w:numPr>
          <w:ilvl w:val="0"/>
          <w:numId w:val="1"/>
        </w:numPr>
        <w:rPr>
          <w:b/>
        </w:rPr>
      </w:pPr>
      <w:r w:rsidRPr="006B6CDC">
        <w:rPr>
          <w:b/>
        </w:rPr>
        <w:t>Breakout discussion and feedback</w:t>
      </w:r>
      <w:r w:rsidRPr="006B6CDC">
        <w:rPr>
          <w:b/>
        </w:rPr>
        <w:br/>
        <w:t>How can we influence government to implement our</w:t>
      </w:r>
      <w:r w:rsidR="00283F1B">
        <w:rPr>
          <w:b/>
        </w:rPr>
        <w:t xml:space="preserve"> Gambling Act Review</w:t>
      </w:r>
      <w:r w:rsidRPr="006B6CDC">
        <w:rPr>
          <w:b/>
        </w:rPr>
        <w:t xml:space="preserve"> recommendations?</w:t>
      </w:r>
      <w:r w:rsidRPr="006B6CDC">
        <w:rPr>
          <w:b/>
        </w:rPr>
        <w:br/>
        <w:t xml:space="preserve">What should we push hardest for? </w:t>
      </w:r>
      <w:r w:rsidRPr="006B6CDC">
        <w:rPr>
          <w:b/>
        </w:rPr>
        <w:br/>
        <w:t>What is most impactful and achievable?</w:t>
      </w:r>
    </w:p>
    <w:p w14:paraId="588D0E19" w14:textId="0AA4F1CB" w:rsidR="00283F1B" w:rsidRDefault="00283F1B" w:rsidP="00283F1B">
      <w:r>
        <w:t>Feedback from the groups:</w:t>
      </w:r>
    </w:p>
    <w:p w14:paraId="74DCBFB3" w14:textId="5F8CF25F" w:rsidR="00283F1B" w:rsidRDefault="00283F1B" w:rsidP="00283F1B">
      <w:pPr>
        <w:pStyle w:val="ListParagraph"/>
        <w:numPr>
          <w:ilvl w:val="0"/>
          <w:numId w:val="14"/>
        </w:numPr>
      </w:pPr>
      <w:r>
        <w:t>Re-introduce a prevalence study.</w:t>
      </w:r>
    </w:p>
    <w:p w14:paraId="3D3B0BF7" w14:textId="43D1C1E9" w:rsidR="00283F1B" w:rsidRDefault="00283F1B" w:rsidP="00283F1B">
      <w:pPr>
        <w:pStyle w:val="ListParagraph"/>
        <w:numPr>
          <w:ilvl w:val="0"/>
          <w:numId w:val="14"/>
        </w:numPr>
      </w:pPr>
      <w:r>
        <w:t>Limit access and availability e.g. stake limits and online access.</w:t>
      </w:r>
    </w:p>
    <w:p w14:paraId="3A7CE37A" w14:textId="2F62A554" w:rsidR="00283F1B" w:rsidRDefault="00283F1B" w:rsidP="00283F1B">
      <w:pPr>
        <w:pStyle w:val="ListParagraph"/>
        <w:numPr>
          <w:ilvl w:val="0"/>
          <w:numId w:val="14"/>
        </w:numPr>
      </w:pPr>
      <w:r>
        <w:t>Mandatory levy – impactful and achievable.</w:t>
      </w:r>
    </w:p>
    <w:p w14:paraId="7592F81C" w14:textId="083104A1" w:rsidR="00283F1B" w:rsidRDefault="00283F1B" w:rsidP="00283F1B">
      <w:pPr>
        <w:pStyle w:val="ListParagraph"/>
        <w:numPr>
          <w:ilvl w:val="0"/>
          <w:numId w:val="14"/>
        </w:numPr>
      </w:pPr>
      <w:r>
        <w:t>Need to get parliamentarians on side with taking the public health approach and prioritising prevention.</w:t>
      </w:r>
    </w:p>
    <w:p w14:paraId="569D0B36" w14:textId="03601E20" w:rsidR="00283F1B" w:rsidRDefault="00283F1B" w:rsidP="00283F1B">
      <w:pPr>
        <w:pStyle w:val="ListParagraph"/>
        <w:numPr>
          <w:ilvl w:val="0"/>
          <w:numId w:val="14"/>
        </w:numPr>
      </w:pPr>
      <w:r>
        <w:t>Lived experience voice of different groups is useful in this narrative.</w:t>
      </w:r>
    </w:p>
    <w:p w14:paraId="19706720" w14:textId="1E2561B8" w:rsidR="00283F1B" w:rsidRDefault="00283F1B" w:rsidP="00283F1B">
      <w:pPr>
        <w:pStyle w:val="ListParagraph"/>
        <w:numPr>
          <w:ilvl w:val="0"/>
          <w:numId w:val="14"/>
        </w:numPr>
      </w:pPr>
      <w:r>
        <w:t>Advertising restrictions.</w:t>
      </w:r>
    </w:p>
    <w:p w14:paraId="1B229528" w14:textId="77777777" w:rsidR="00283F1B" w:rsidRPr="00283F1B" w:rsidRDefault="00283F1B" w:rsidP="006C5BC3">
      <w:pPr>
        <w:pStyle w:val="ListParagraph"/>
      </w:pPr>
    </w:p>
    <w:p w14:paraId="601B6EBD" w14:textId="77777777" w:rsidR="00A411EF" w:rsidRDefault="006B6CDC" w:rsidP="006B6CDC">
      <w:pPr>
        <w:pStyle w:val="ListParagraph"/>
        <w:numPr>
          <w:ilvl w:val="0"/>
          <w:numId w:val="1"/>
        </w:numPr>
        <w:rPr>
          <w:b/>
        </w:rPr>
      </w:pPr>
      <w:r w:rsidRPr="006B6CDC">
        <w:rPr>
          <w:b/>
        </w:rPr>
        <w:t>GHA priorities       </w:t>
      </w:r>
    </w:p>
    <w:p w14:paraId="2C7613AA" w14:textId="77777777" w:rsidR="00A411EF" w:rsidRDefault="00A411EF" w:rsidP="00A411EF">
      <w:pPr>
        <w:rPr>
          <w:b/>
        </w:rPr>
      </w:pPr>
      <w:r>
        <w:lastRenderedPageBreak/>
        <w:t xml:space="preserve">Louisa went through the survey that GHA members completed about the priorities for the GHA for the rest of 2021. </w:t>
      </w:r>
      <w:r w:rsidR="006B6CDC" w:rsidRPr="00A411EF">
        <w:rPr>
          <w:b/>
        </w:rPr>
        <w:t>                  </w:t>
      </w:r>
    </w:p>
    <w:p w14:paraId="48DD2684" w14:textId="09C9BEA5" w:rsidR="00A411EF" w:rsidRDefault="00A411EF" w:rsidP="00A411EF">
      <w:r>
        <w:t>The top three priorities for the GHA as voted for by members were:</w:t>
      </w:r>
    </w:p>
    <w:p w14:paraId="671B73E9" w14:textId="77777777" w:rsidR="00A411EF" w:rsidRDefault="00A411EF" w:rsidP="00A411EF">
      <w:pPr>
        <w:pStyle w:val="ListParagraph"/>
        <w:numPr>
          <w:ilvl w:val="0"/>
          <w:numId w:val="15"/>
        </w:numPr>
      </w:pPr>
      <w:r>
        <w:t>Making gambling safe from a public health perspective.</w:t>
      </w:r>
    </w:p>
    <w:p w14:paraId="233AA94F" w14:textId="77777777" w:rsidR="00A411EF" w:rsidRDefault="00A411EF" w:rsidP="00A411EF">
      <w:pPr>
        <w:pStyle w:val="ListParagraph"/>
        <w:numPr>
          <w:ilvl w:val="0"/>
          <w:numId w:val="15"/>
        </w:numPr>
      </w:pPr>
      <w:r>
        <w:t>Gambling advertising in general (as opposed to in sport).</w:t>
      </w:r>
    </w:p>
    <w:p w14:paraId="1C7DF240" w14:textId="77777777" w:rsidR="00A411EF" w:rsidRDefault="00A411EF" w:rsidP="00A411EF">
      <w:pPr>
        <w:pStyle w:val="ListParagraph"/>
        <w:numPr>
          <w:ilvl w:val="0"/>
          <w:numId w:val="15"/>
        </w:numPr>
      </w:pPr>
      <w:r>
        <w:t>Health inequalities in drivers of gambling and the harms experienced.</w:t>
      </w:r>
    </w:p>
    <w:p w14:paraId="7BC9D35C" w14:textId="67212E7A" w:rsidR="00A411EF" w:rsidRDefault="00A411EF" w:rsidP="00A411EF">
      <w:r>
        <w:t>When asked about the priorities for member</w:t>
      </w:r>
      <w:r w:rsidRPr="00A411EF">
        <w:t xml:space="preserve"> </w:t>
      </w:r>
      <w:r>
        <w:t>organisations this year,</w:t>
      </w:r>
      <w:r w:rsidRPr="00A411EF">
        <w:t xml:space="preserve"> </w:t>
      </w:r>
      <w:r>
        <w:t>‘</w:t>
      </w:r>
      <w:r w:rsidRPr="00A411EF">
        <w:t>communities</w:t>
      </w:r>
      <w:r>
        <w:t>’</w:t>
      </w:r>
      <w:r w:rsidRPr="00A411EF">
        <w:t xml:space="preserve"> </w:t>
      </w:r>
      <w:r>
        <w:t>was</w:t>
      </w:r>
      <w:r w:rsidRPr="00A411EF">
        <w:t xml:space="preserve"> mentioned most often.</w:t>
      </w:r>
      <w:r w:rsidR="006B6CDC" w:rsidRPr="00A411EF">
        <w:t>                  </w:t>
      </w:r>
    </w:p>
    <w:p w14:paraId="7F00E113" w14:textId="2AC0FE10" w:rsidR="00A411EF" w:rsidRDefault="00A411EF" w:rsidP="00A411EF">
      <w:r>
        <w:t>When asked what else the GHA should focus on, the most common responses were:</w:t>
      </w:r>
    </w:p>
    <w:p w14:paraId="08BE6CE2" w14:textId="77777777" w:rsidR="00A411EF" w:rsidRDefault="00A411EF" w:rsidP="00A411EF">
      <w:pPr>
        <w:pStyle w:val="ListParagraph"/>
        <w:numPr>
          <w:ilvl w:val="0"/>
          <w:numId w:val="16"/>
        </w:numPr>
      </w:pPr>
      <w:r>
        <w:t>Gambling environments and the clustering of betting outlets.</w:t>
      </w:r>
    </w:p>
    <w:p w14:paraId="0C63C257" w14:textId="77777777" w:rsidR="00A411EF" w:rsidRDefault="00A411EF" w:rsidP="00A411EF">
      <w:pPr>
        <w:pStyle w:val="ListParagraph"/>
        <w:numPr>
          <w:ilvl w:val="0"/>
          <w:numId w:val="16"/>
        </w:numPr>
      </w:pPr>
      <w:r>
        <w:t xml:space="preserve">Gambling in workplaces and communities. </w:t>
      </w:r>
    </w:p>
    <w:p w14:paraId="47EFC4B8" w14:textId="1E9E24AA" w:rsidR="006B6CDC" w:rsidRPr="00A411EF" w:rsidRDefault="00A411EF" w:rsidP="00A411EF">
      <w:pPr>
        <w:pStyle w:val="ListParagraph"/>
        <w:numPr>
          <w:ilvl w:val="0"/>
          <w:numId w:val="16"/>
        </w:numPr>
      </w:pPr>
      <w:r>
        <w:t xml:space="preserve">The responsible gambling narrative.   </w:t>
      </w:r>
      <w:r w:rsidR="006B6CDC" w:rsidRPr="00A411EF">
        <w:t xml:space="preserve">                                    </w:t>
      </w:r>
    </w:p>
    <w:p w14:paraId="545AA9F9" w14:textId="33F13FA0" w:rsidR="006B6CDC" w:rsidRDefault="006B6CDC" w:rsidP="006B6CDC">
      <w:pPr>
        <w:pStyle w:val="ListParagraph"/>
        <w:numPr>
          <w:ilvl w:val="0"/>
          <w:numId w:val="1"/>
        </w:numPr>
        <w:rPr>
          <w:b/>
        </w:rPr>
      </w:pPr>
      <w:r w:rsidRPr="006B6CDC">
        <w:rPr>
          <w:b/>
        </w:rPr>
        <w:t>Breakout discussion and feedback</w:t>
      </w:r>
      <w:r w:rsidRPr="006B6CDC">
        <w:rPr>
          <w:b/>
        </w:rPr>
        <w:br/>
        <w:t>What should the GHA focus on for the rest of 2021?</w:t>
      </w:r>
    </w:p>
    <w:p w14:paraId="49229F40" w14:textId="5EDE64C2" w:rsidR="00083D89" w:rsidRDefault="00083D89" w:rsidP="00083D89">
      <w:r>
        <w:t>Feedback from the groups:</w:t>
      </w:r>
    </w:p>
    <w:p w14:paraId="14CC5F0A" w14:textId="77D7F96B" w:rsidR="00083D89" w:rsidRDefault="00DF13D7" w:rsidP="00083D89">
      <w:pPr>
        <w:pStyle w:val="ListParagraph"/>
        <w:numPr>
          <w:ilvl w:val="0"/>
          <w:numId w:val="17"/>
        </w:numPr>
      </w:pPr>
      <w:r>
        <w:lastRenderedPageBreak/>
        <w:t>PHE Evidence Review – updated and comprehensive evidence is required to inform policy development and to push back against the industry response to evidence of gambling harms.</w:t>
      </w:r>
    </w:p>
    <w:p w14:paraId="7A1CE5DF" w14:textId="768AFCDC" w:rsidR="00DF13D7" w:rsidRDefault="00DF13D7" w:rsidP="00083D89">
      <w:pPr>
        <w:pStyle w:val="ListParagraph"/>
        <w:numPr>
          <w:ilvl w:val="0"/>
          <w:numId w:val="17"/>
        </w:numPr>
      </w:pPr>
      <w:r>
        <w:t>Child protection</w:t>
      </w:r>
      <w:r w:rsidR="001C2B9A">
        <w:t xml:space="preserve"> and safeguarding from gambling harms should be part of professional education</w:t>
      </w:r>
      <w:r>
        <w:t>.</w:t>
      </w:r>
    </w:p>
    <w:p w14:paraId="1F2667AF" w14:textId="77777777" w:rsidR="00DF13D7" w:rsidRDefault="00DF13D7" w:rsidP="00083D89">
      <w:pPr>
        <w:pStyle w:val="ListParagraph"/>
        <w:numPr>
          <w:ilvl w:val="0"/>
          <w:numId w:val="17"/>
        </w:numPr>
      </w:pPr>
      <w:r>
        <w:t xml:space="preserve">What the public health approach looks like – the policies that are needed e.g. ‘protect public health’ as a licensing objective of the Gambling Act. </w:t>
      </w:r>
    </w:p>
    <w:p w14:paraId="5C820C45" w14:textId="77777777" w:rsidR="00DF13D7" w:rsidRDefault="00DF13D7" w:rsidP="00083D89">
      <w:pPr>
        <w:pStyle w:val="ListParagraph"/>
        <w:numPr>
          <w:ilvl w:val="0"/>
          <w:numId w:val="17"/>
        </w:numPr>
      </w:pPr>
      <w:r>
        <w:t xml:space="preserve">Mandatory levy to come through mainstream funding bodies. </w:t>
      </w:r>
    </w:p>
    <w:p w14:paraId="4C9FC474" w14:textId="4E714753" w:rsidR="00DF13D7" w:rsidRDefault="00DF13D7" w:rsidP="00083D89">
      <w:pPr>
        <w:pStyle w:val="ListParagraph"/>
        <w:numPr>
          <w:ilvl w:val="0"/>
          <w:numId w:val="17"/>
        </w:numPr>
      </w:pPr>
      <w:r>
        <w:t>Prohibit advertising.</w:t>
      </w:r>
    </w:p>
    <w:p w14:paraId="17A9E797" w14:textId="129BFBEC" w:rsidR="00DF13D7" w:rsidRDefault="00DF13D7" w:rsidP="00083D89">
      <w:pPr>
        <w:pStyle w:val="ListParagraph"/>
        <w:numPr>
          <w:ilvl w:val="0"/>
          <w:numId w:val="17"/>
        </w:numPr>
      </w:pPr>
      <w:r>
        <w:t>Wider knowledge among the population about gambling as a public health issue</w:t>
      </w:r>
      <w:r w:rsidR="00B242AA">
        <w:t xml:space="preserve"> alongside other addiction issues, and evidence of the effectiveness of education</w:t>
      </w:r>
      <w:r>
        <w:t xml:space="preserve">. </w:t>
      </w:r>
    </w:p>
    <w:p w14:paraId="234F9103" w14:textId="77777777" w:rsidR="00DF13D7" w:rsidRDefault="00DF13D7" w:rsidP="00083D89">
      <w:pPr>
        <w:pStyle w:val="ListParagraph"/>
        <w:numPr>
          <w:ilvl w:val="0"/>
          <w:numId w:val="17"/>
        </w:numPr>
      </w:pPr>
      <w:r>
        <w:t>Keep lobbying for Gambling Act Review recommendations.</w:t>
      </w:r>
    </w:p>
    <w:p w14:paraId="459C5D40" w14:textId="77777777" w:rsidR="00DF13D7" w:rsidRDefault="00DF13D7" w:rsidP="00083D89">
      <w:pPr>
        <w:pStyle w:val="ListParagraph"/>
        <w:numPr>
          <w:ilvl w:val="0"/>
          <w:numId w:val="17"/>
        </w:numPr>
      </w:pPr>
      <w:r>
        <w:t xml:space="preserve">Health inequality in lived experience. </w:t>
      </w:r>
    </w:p>
    <w:p w14:paraId="29405150" w14:textId="2889B2C8" w:rsidR="00DF13D7" w:rsidRPr="00083D89" w:rsidRDefault="00DF13D7" w:rsidP="00B242AA">
      <w:pPr>
        <w:pStyle w:val="ListParagraph"/>
      </w:pPr>
      <w:r>
        <w:t xml:space="preserve">  </w:t>
      </w:r>
    </w:p>
    <w:p w14:paraId="7047357D" w14:textId="571805C9" w:rsidR="001C2B9A" w:rsidRPr="001C2B9A" w:rsidRDefault="006B6CDC" w:rsidP="001C2B9A">
      <w:pPr>
        <w:pStyle w:val="ListParagraph"/>
        <w:numPr>
          <w:ilvl w:val="0"/>
          <w:numId w:val="1"/>
        </w:numPr>
        <w:rPr>
          <w:b/>
        </w:rPr>
      </w:pPr>
      <w:r w:rsidRPr="006B6CDC">
        <w:rPr>
          <w:b/>
        </w:rPr>
        <w:t>Member updates                                              </w:t>
      </w:r>
      <w:r w:rsidR="001C2B9A">
        <w:rPr>
          <w:b/>
        </w:rPr>
        <w:t>                              </w:t>
      </w:r>
    </w:p>
    <w:p w14:paraId="39BD6E9C" w14:textId="77777777" w:rsidR="001C2B9A" w:rsidRDefault="006B6CDC" w:rsidP="001C2B9A">
      <w:r w:rsidRPr="001C2B9A">
        <w:t>Kishan Patel</w:t>
      </w:r>
      <w:r w:rsidR="001C2B9A">
        <w:t xml:space="preserve"> gave a presentation</w:t>
      </w:r>
      <w:r w:rsidRPr="001C2B9A">
        <w:t xml:space="preserve"> on </w:t>
      </w:r>
      <w:hyperlink r:id="rId6" w:history="1">
        <w:r w:rsidRPr="001C2B9A">
          <w:rPr>
            <w:rStyle w:val="Hyperlink"/>
          </w:rPr>
          <w:t>Gambling Explained</w:t>
        </w:r>
      </w:hyperlink>
      <w:r w:rsidR="001C2B9A">
        <w:t>.</w:t>
      </w:r>
    </w:p>
    <w:p w14:paraId="265409FC" w14:textId="745EE918" w:rsidR="005636BD" w:rsidRDefault="001C2B9A" w:rsidP="001C2B9A">
      <w:r>
        <w:lastRenderedPageBreak/>
        <w:t>Katie Fry from Citizens Advice informed that group that the Citizen</w:t>
      </w:r>
      <w:bookmarkStart w:id="0" w:name="_GoBack"/>
      <w:bookmarkEnd w:id="0"/>
      <w:r>
        <w:t xml:space="preserve">s Advice Gambling Act Review submission will be published. It was based on research conducted with 2,000 people, Katie will check about sharing the findings with the GHA. The training support service </w:t>
      </w:r>
      <w:r w:rsidR="005636BD">
        <w:t xml:space="preserve">for frontline staff on gambling harms will come to an end in May, but there will be a new piece of policy work starting, funded by </w:t>
      </w:r>
      <w:proofErr w:type="spellStart"/>
      <w:r w:rsidR="005636BD">
        <w:t>GambleAware</w:t>
      </w:r>
      <w:proofErr w:type="spellEnd"/>
      <w:r w:rsidR="005636BD">
        <w:t xml:space="preserve">. Katie will send a summary of this work to the GHA. </w:t>
      </w:r>
    </w:p>
    <w:p w14:paraId="3AC16F50" w14:textId="77777777" w:rsidR="005636BD" w:rsidRDefault="005636BD" w:rsidP="001C2B9A">
      <w:r>
        <w:t xml:space="preserve">Charlie </w:t>
      </w:r>
      <w:proofErr w:type="spellStart"/>
      <w:r>
        <w:t>Plucker</w:t>
      </w:r>
      <w:proofErr w:type="spellEnd"/>
      <w:r>
        <w:t xml:space="preserve"> from </w:t>
      </w:r>
      <w:proofErr w:type="spellStart"/>
      <w:r>
        <w:t>GamCare</w:t>
      </w:r>
      <w:proofErr w:type="spellEnd"/>
      <w:r>
        <w:t xml:space="preserve"> introduced himself to the group as a new member, and announced that </w:t>
      </w:r>
      <w:proofErr w:type="spellStart"/>
      <w:r>
        <w:t>GamCare’s</w:t>
      </w:r>
      <w:proofErr w:type="spellEnd"/>
      <w:r>
        <w:t xml:space="preserve"> partnership with YGAM is now up and running and provides a support service for young people.</w:t>
      </w:r>
    </w:p>
    <w:p w14:paraId="04423CCE" w14:textId="77777777" w:rsidR="005636BD" w:rsidRDefault="005636BD" w:rsidP="001C2B9A">
      <w:r>
        <w:t xml:space="preserve">Justyn Larcombe brought up a Swansea University project that focuses on veterans and gambling. This is due for publication soon. </w:t>
      </w:r>
    </w:p>
    <w:p w14:paraId="314A33B8" w14:textId="01C9F693" w:rsidR="006B6CDC" w:rsidRPr="001C2B9A" w:rsidRDefault="005636BD" w:rsidP="001C2B9A">
      <w:r>
        <w:t xml:space="preserve">The Observer (YGAM) was invited to unmute but did not wish to add anything. </w:t>
      </w:r>
    </w:p>
    <w:p w14:paraId="31EB78A5" w14:textId="77777777" w:rsidR="000755BE" w:rsidRDefault="006B6CDC" w:rsidP="006B6CDC">
      <w:pPr>
        <w:pStyle w:val="ListParagraph"/>
        <w:numPr>
          <w:ilvl w:val="0"/>
          <w:numId w:val="1"/>
        </w:numPr>
        <w:rPr>
          <w:b/>
        </w:rPr>
      </w:pPr>
      <w:r w:rsidRPr="006B6CDC">
        <w:rPr>
          <w:b/>
        </w:rPr>
        <w:t>AOB and meeting close      </w:t>
      </w:r>
    </w:p>
    <w:p w14:paraId="47DAD5F1" w14:textId="77777777" w:rsidR="000755BE" w:rsidRDefault="000755BE" w:rsidP="000755BE">
      <w:r>
        <w:t xml:space="preserve">Christina thanked the members for attending the meeting and stated that Louisa will circulate notes and </w:t>
      </w:r>
      <w:proofErr w:type="spellStart"/>
      <w:r>
        <w:t>Kishan’s</w:t>
      </w:r>
      <w:proofErr w:type="spellEnd"/>
      <w:r>
        <w:t xml:space="preserve"> slides. Christina </w:t>
      </w:r>
      <w:r>
        <w:lastRenderedPageBreak/>
        <w:t xml:space="preserve">reminded members to get in contact with questions or comments, blog submissions or items for the newsletter. </w:t>
      </w:r>
    </w:p>
    <w:p w14:paraId="06AEF02A" w14:textId="45369D1C" w:rsidR="006B6CDC" w:rsidRPr="000755BE" w:rsidRDefault="000755BE" w:rsidP="000755BE">
      <w:pPr>
        <w:rPr>
          <w:b/>
        </w:rPr>
      </w:pPr>
      <w:r>
        <w:t xml:space="preserve">The meeting closed. </w:t>
      </w:r>
      <w:r w:rsidR="006B6CDC" w:rsidRPr="000755BE">
        <w:rPr>
          <w:b/>
        </w:rPr>
        <w:t xml:space="preserve">                                                            </w:t>
      </w:r>
    </w:p>
    <w:p w14:paraId="76A5CCEF" w14:textId="77777777" w:rsidR="006B6CDC" w:rsidRDefault="006B6CDC" w:rsidP="006B6CDC">
      <w:pPr>
        <w:pStyle w:val="ListParagraph"/>
        <w:ind w:left="360"/>
        <w:rPr>
          <w:b/>
          <w:bCs/>
        </w:rPr>
      </w:pPr>
    </w:p>
    <w:p w14:paraId="33EA2572" w14:textId="15EE4CC1" w:rsidR="000B2D22" w:rsidRPr="009D7B33" w:rsidRDefault="000B2D22" w:rsidP="009D7B33">
      <w:pPr>
        <w:spacing w:after="0" w:line="240" w:lineRule="auto"/>
        <w:rPr>
          <w:rFonts w:ascii="Calibri" w:hAnsi="Calibri" w:cs="Calibri"/>
          <w:b/>
          <w:szCs w:val="24"/>
        </w:rPr>
      </w:pPr>
    </w:p>
    <w:sectPr w:rsidR="000B2D22" w:rsidRPr="009D7B3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CBB1" w16cex:dateUtc="2020-11-25T12:25:00Z"/>
  <w16cex:commentExtensible w16cex:durableId="2368CBFE" w16cex:dateUtc="2020-11-25T12:26:00Z"/>
  <w16cex:commentExtensible w16cex:durableId="2368CB9D" w16cex:dateUtc="2020-11-25T12:25:00Z"/>
  <w16cex:commentExtensible w16cex:durableId="2368CBCD" w16cex:dateUtc="2020-11-25T12:25:00Z"/>
  <w16cex:commentExtensible w16cex:durableId="2368E0C0" w16cex:dateUtc="2020-11-25T13: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OJNFC V+ Helvetica Neue LT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CAF"/>
    <w:multiLevelType w:val="hybridMultilevel"/>
    <w:tmpl w:val="3F181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12378"/>
    <w:multiLevelType w:val="hybridMultilevel"/>
    <w:tmpl w:val="C0647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A5C3D"/>
    <w:multiLevelType w:val="hybridMultilevel"/>
    <w:tmpl w:val="3BCC6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92D1B"/>
    <w:multiLevelType w:val="hybridMultilevel"/>
    <w:tmpl w:val="4168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E7697"/>
    <w:multiLevelType w:val="hybridMultilevel"/>
    <w:tmpl w:val="72885EFE"/>
    <w:lvl w:ilvl="0" w:tplc="9E88650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D33260"/>
    <w:multiLevelType w:val="hybridMultilevel"/>
    <w:tmpl w:val="6ED6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93AC6"/>
    <w:multiLevelType w:val="hybridMultilevel"/>
    <w:tmpl w:val="8B5025F0"/>
    <w:lvl w:ilvl="0" w:tplc="ABBE36D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780401"/>
    <w:multiLevelType w:val="hybridMultilevel"/>
    <w:tmpl w:val="7AF4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0075D"/>
    <w:multiLevelType w:val="hybridMultilevel"/>
    <w:tmpl w:val="4B08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21D48"/>
    <w:multiLevelType w:val="hybridMultilevel"/>
    <w:tmpl w:val="FB14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46C74"/>
    <w:multiLevelType w:val="hybridMultilevel"/>
    <w:tmpl w:val="8586E7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57D9727F"/>
    <w:multiLevelType w:val="hybridMultilevel"/>
    <w:tmpl w:val="CB88A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57FEC"/>
    <w:multiLevelType w:val="hybridMultilevel"/>
    <w:tmpl w:val="8D94ECEA"/>
    <w:lvl w:ilvl="0" w:tplc="4352ED48">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F44F4"/>
    <w:multiLevelType w:val="hybridMultilevel"/>
    <w:tmpl w:val="145C5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622F4F"/>
    <w:multiLevelType w:val="hybridMultilevel"/>
    <w:tmpl w:val="4536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6620E"/>
    <w:multiLevelType w:val="hybridMultilevel"/>
    <w:tmpl w:val="FE56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523E3"/>
    <w:multiLevelType w:val="hybridMultilevel"/>
    <w:tmpl w:val="CEC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3"/>
  </w:num>
  <w:num w:numId="5">
    <w:abstractNumId w:val="0"/>
  </w:num>
  <w:num w:numId="6">
    <w:abstractNumId w:val="6"/>
  </w:num>
  <w:num w:numId="7">
    <w:abstractNumId w:val="8"/>
  </w:num>
  <w:num w:numId="8">
    <w:abstractNumId w:val="15"/>
  </w:num>
  <w:num w:numId="9">
    <w:abstractNumId w:val="10"/>
  </w:num>
  <w:num w:numId="10">
    <w:abstractNumId w:val="12"/>
  </w:num>
  <w:num w:numId="11">
    <w:abstractNumId w:val="14"/>
  </w:num>
  <w:num w:numId="12">
    <w:abstractNumId w:val="7"/>
  </w:num>
  <w:num w:numId="13">
    <w:abstractNumId w:val="5"/>
  </w:num>
  <w:num w:numId="14">
    <w:abstractNumId w:val="9"/>
  </w:num>
  <w:num w:numId="15">
    <w:abstractNumId w:val="1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4A"/>
    <w:rsid w:val="000134BA"/>
    <w:rsid w:val="0002208C"/>
    <w:rsid w:val="000755BE"/>
    <w:rsid w:val="00083D89"/>
    <w:rsid w:val="000958EB"/>
    <w:rsid w:val="000A259D"/>
    <w:rsid w:val="000B2C4F"/>
    <w:rsid w:val="000B2D22"/>
    <w:rsid w:val="000F016C"/>
    <w:rsid w:val="001123B2"/>
    <w:rsid w:val="001204B8"/>
    <w:rsid w:val="001C2B9A"/>
    <w:rsid w:val="001D32CF"/>
    <w:rsid w:val="00264EE0"/>
    <w:rsid w:val="0027280D"/>
    <w:rsid w:val="00283F1B"/>
    <w:rsid w:val="00291281"/>
    <w:rsid w:val="002A4618"/>
    <w:rsid w:val="002E24A1"/>
    <w:rsid w:val="00357307"/>
    <w:rsid w:val="003606DD"/>
    <w:rsid w:val="00372D34"/>
    <w:rsid w:val="003C0F65"/>
    <w:rsid w:val="00406083"/>
    <w:rsid w:val="004350D6"/>
    <w:rsid w:val="00453DE7"/>
    <w:rsid w:val="00461F5E"/>
    <w:rsid w:val="004E1350"/>
    <w:rsid w:val="004F5602"/>
    <w:rsid w:val="00500F5F"/>
    <w:rsid w:val="005636BD"/>
    <w:rsid w:val="00570AEA"/>
    <w:rsid w:val="00582B43"/>
    <w:rsid w:val="005B2F25"/>
    <w:rsid w:val="00656A09"/>
    <w:rsid w:val="006B6CDC"/>
    <w:rsid w:val="006C5BC3"/>
    <w:rsid w:val="006F6910"/>
    <w:rsid w:val="00701CD5"/>
    <w:rsid w:val="00717CCD"/>
    <w:rsid w:val="0073551A"/>
    <w:rsid w:val="007519B9"/>
    <w:rsid w:val="0077663F"/>
    <w:rsid w:val="007A41E3"/>
    <w:rsid w:val="007D649A"/>
    <w:rsid w:val="007E2E43"/>
    <w:rsid w:val="008759BF"/>
    <w:rsid w:val="00880D66"/>
    <w:rsid w:val="00890BA0"/>
    <w:rsid w:val="00894C34"/>
    <w:rsid w:val="008C0D77"/>
    <w:rsid w:val="008E2C4E"/>
    <w:rsid w:val="00913475"/>
    <w:rsid w:val="00921820"/>
    <w:rsid w:val="00944E69"/>
    <w:rsid w:val="009777FA"/>
    <w:rsid w:val="009D2D45"/>
    <w:rsid w:val="009D7B33"/>
    <w:rsid w:val="009F7562"/>
    <w:rsid w:val="00A116BD"/>
    <w:rsid w:val="00A36581"/>
    <w:rsid w:val="00A411EF"/>
    <w:rsid w:val="00A4154A"/>
    <w:rsid w:val="00A5066F"/>
    <w:rsid w:val="00AB4BF8"/>
    <w:rsid w:val="00AD651C"/>
    <w:rsid w:val="00B01BF8"/>
    <w:rsid w:val="00B242AA"/>
    <w:rsid w:val="00B603FA"/>
    <w:rsid w:val="00B61705"/>
    <w:rsid w:val="00B94810"/>
    <w:rsid w:val="00BE0A99"/>
    <w:rsid w:val="00BF686B"/>
    <w:rsid w:val="00C017C5"/>
    <w:rsid w:val="00C52DA3"/>
    <w:rsid w:val="00C71526"/>
    <w:rsid w:val="00CC02F8"/>
    <w:rsid w:val="00D12FB6"/>
    <w:rsid w:val="00D5545E"/>
    <w:rsid w:val="00D57F63"/>
    <w:rsid w:val="00D77A9C"/>
    <w:rsid w:val="00D82823"/>
    <w:rsid w:val="00DA1DEF"/>
    <w:rsid w:val="00DA24C8"/>
    <w:rsid w:val="00DD46A8"/>
    <w:rsid w:val="00DF048F"/>
    <w:rsid w:val="00DF13D7"/>
    <w:rsid w:val="00E37CA8"/>
    <w:rsid w:val="00E70529"/>
    <w:rsid w:val="00ED7667"/>
    <w:rsid w:val="00EF335A"/>
    <w:rsid w:val="00EF6165"/>
    <w:rsid w:val="00EF6931"/>
    <w:rsid w:val="00F22132"/>
    <w:rsid w:val="00FA0AB7"/>
    <w:rsid w:val="00FA4442"/>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54E3"/>
  <w15:chartTrackingRefBased/>
  <w15:docId w15:val="{DFC93BD6-AA27-4FF1-93FD-152BF98A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2CF"/>
    <w:rPr>
      <w:sz w:val="16"/>
      <w:szCs w:val="16"/>
    </w:rPr>
  </w:style>
  <w:style w:type="paragraph" w:styleId="CommentText">
    <w:name w:val="annotation text"/>
    <w:basedOn w:val="Normal"/>
    <w:link w:val="CommentTextChar"/>
    <w:uiPriority w:val="99"/>
    <w:semiHidden/>
    <w:unhideWhenUsed/>
    <w:rsid w:val="001D32CF"/>
    <w:pPr>
      <w:spacing w:line="240" w:lineRule="auto"/>
    </w:pPr>
    <w:rPr>
      <w:sz w:val="20"/>
      <w:szCs w:val="20"/>
    </w:rPr>
  </w:style>
  <w:style w:type="character" w:customStyle="1" w:styleId="CommentTextChar">
    <w:name w:val="Comment Text Char"/>
    <w:basedOn w:val="DefaultParagraphFont"/>
    <w:link w:val="CommentText"/>
    <w:uiPriority w:val="99"/>
    <w:semiHidden/>
    <w:rsid w:val="001D32CF"/>
    <w:rPr>
      <w:sz w:val="20"/>
      <w:szCs w:val="20"/>
    </w:rPr>
  </w:style>
  <w:style w:type="paragraph" w:styleId="CommentSubject">
    <w:name w:val="annotation subject"/>
    <w:basedOn w:val="CommentText"/>
    <w:next w:val="CommentText"/>
    <w:link w:val="CommentSubjectChar"/>
    <w:uiPriority w:val="99"/>
    <w:semiHidden/>
    <w:unhideWhenUsed/>
    <w:rsid w:val="001D32CF"/>
    <w:rPr>
      <w:b/>
      <w:bCs/>
    </w:rPr>
  </w:style>
  <w:style w:type="character" w:customStyle="1" w:styleId="CommentSubjectChar">
    <w:name w:val="Comment Subject Char"/>
    <w:basedOn w:val="CommentTextChar"/>
    <w:link w:val="CommentSubject"/>
    <w:uiPriority w:val="99"/>
    <w:semiHidden/>
    <w:rsid w:val="001D32CF"/>
    <w:rPr>
      <w:b/>
      <w:bCs/>
      <w:sz w:val="20"/>
      <w:szCs w:val="20"/>
    </w:rPr>
  </w:style>
  <w:style w:type="paragraph" w:styleId="BalloonText">
    <w:name w:val="Balloon Text"/>
    <w:basedOn w:val="Normal"/>
    <w:link w:val="BalloonTextChar"/>
    <w:uiPriority w:val="99"/>
    <w:semiHidden/>
    <w:unhideWhenUsed/>
    <w:rsid w:val="001D3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CF"/>
    <w:rPr>
      <w:rFonts w:ascii="Segoe UI" w:hAnsi="Segoe UI" w:cs="Segoe UI"/>
      <w:sz w:val="18"/>
      <w:szCs w:val="18"/>
    </w:rPr>
  </w:style>
  <w:style w:type="paragraph" w:styleId="ListParagraph">
    <w:name w:val="List Paragraph"/>
    <w:basedOn w:val="Normal"/>
    <w:uiPriority w:val="34"/>
    <w:qFormat/>
    <w:rsid w:val="001D32CF"/>
    <w:pPr>
      <w:ind w:left="720"/>
      <w:contextualSpacing/>
    </w:pPr>
  </w:style>
  <w:style w:type="character" w:styleId="Hyperlink">
    <w:name w:val="Hyperlink"/>
    <w:basedOn w:val="DefaultParagraphFont"/>
    <w:uiPriority w:val="99"/>
    <w:unhideWhenUsed/>
    <w:rsid w:val="001C2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4113">
      <w:bodyDiv w:val="1"/>
      <w:marLeft w:val="0"/>
      <w:marRight w:val="0"/>
      <w:marTop w:val="0"/>
      <w:marBottom w:val="0"/>
      <w:divBdr>
        <w:top w:val="none" w:sz="0" w:space="0" w:color="auto"/>
        <w:left w:val="none" w:sz="0" w:space="0" w:color="auto"/>
        <w:bottom w:val="none" w:sz="0" w:space="0" w:color="auto"/>
        <w:right w:val="none" w:sz="0" w:space="0" w:color="auto"/>
      </w:divBdr>
    </w:div>
    <w:div w:id="389500253">
      <w:bodyDiv w:val="1"/>
      <w:marLeft w:val="0"/>
      <w:marRight w:val="0"/>
      <w:marTop w:val="0"/>
      <w:marBottom w:val="0"/>
      <w:divBdr>
        <w:top w:val="none" w:sz="0" w:space="0" w:color="auto"/>
        <w:left w:val="none" w:sz="0" w:space="0" w:color="auto"/>
        <w:bottom w:val="none" w:sz="0" w:space="0" w:color="auto"/>
        <w:right w:val="none" w:sz="0" w:space="0" w:color="auto"/>
      </w:divBdr>
    </w:div>
    <w:div w:id="853034021">
      <w:bodyDiv w:val="1"/>
      <w:marLeft w:val="0"/>
      <w:marRight w:val="0"/>
      <w:marTop w:val="0"/>
      <w:marBottom w:val="0"/>
      <w:divBdr>
        <w:top w:val="none" w:sz="0" w:space="0" w:color="auto"/>
        <w:left w:val="none" w:sz="0" w:space="0" w:color="auto"/>
        <w:bottom w:val="none" w:sz="0" w:space="0" w:color="auto"/>
        <w:right w:val="none" w:sz="0" w:space="0" w:color="auto"/>
      </w:divBdr>
    </w:div>
    <w:div w:id="997999961">
      <w:bodyDiv w:val="1"/>
      <w:marLeft w:val="0"/>
      <w:marRight w:val="0"/>
      <w:marTop w:val="0"/>
      <w:marBottom w:val="0"/>
      <w:divBdr>
        <w:top w:val="none" w:sz="0" w:space="0" w:color="auto"/>
        <w:left w:val="none" w:sz="0" w:space="0" w:color="auto"/>
        <w:bottom w:val="none" w:sz="0" w:space="0" w:color="auto"/>
        <w:right w:val="none" w:sz="0" w:space="0" w:color="auto"/>
      </w:divBdr>
    </w:div>
    <w:div w:id="1137724737">
      <w:bodyDiv w:val="1"/>
      <w:marLeft w:val="0"/>
      <w:marRight w:val="0"/>
      <w:marTop w:val="0"/>
      <w:marBottom w:val="0"/>
      <w:divBdr>
        <w:top w:val="none" w:sz="0" w:space="0" w:color="auto"/>
        <w:left w:val="none" w:sz="0" w:space="0" w:color="auto"/>
        <w:bottom w:val="none" w:sz="0" w:space="0" w:color="auto"/>
        <w:right w:val="none" w:sz="0" w:space="0" w:color="auto"/>
      </w:divBdr>
    </w:div>
    <w:div w:id="1337151707">
      <w:bodyDiv w:val="1"/>
      <w:marLeft w:val="0"/>
      <w:marRight w:val="0"/>
      <w:marTop w:val="0"/>
      <w:marBottom w:val="0"/>
      <w:divBdr>
        <w:top w:val="none" w:sz="0" w:space="0" w:color="auto"/>
        <w:left w:val="none" w:sz="0" w:space="0" w:color="auto"/>
        <w:bottom w:val="none" w:sz="0" w:space="0" w:color="auto"/>
        <w:right w:val="none" w:sz="0" w:space="0" w:color="auto"/>
      </w:divBdr>
    </w:div>
    <w:div w:id="1654988390">
      <w:bodyDiv w:val="1"/>
      <w:marLeft w:val="0"/>
      <w:marRight w:val="0"/>
      <w:marTop w:val="0"/>
      <w:marBottom w:val="0"/>
      <w:divBdr>
        <w:top w:val="none" w:sz="0" w:space="0" w:color="auto"/>
        <w:left w:val="none" w:sz="0" w:space="0" w:color="auto"/>
        <w:bottom w:val="none" w:sz="0" w:space="0" w:color="auto"/>
        <w:right w:val="none" w:sz="0" w:space="0" w:color="auto"/>
      </w:divBdr>
    </w:div>
    <w:div w:id="1910534771">
      <w:bodyDiv w:val="1"/>
      <w:marLeft w:val="0"/>
      <w:marRight w:val="0"/>
      <w:marTop w:val="0"/>
      <w:marBottom w:val="0"/>
      <w:divBdr>
        <w:top w:val="none" w:sz="0" w:space="0" w:color="auto"/>
        <w:left w:val="none" w:sz="0" w:space="0" w:color="auto"/>
        <w:bottom w:val="none" w:sz="0" w:space="0" w:color="auto"/>
        <w:right w:val="none" w:sz="0" w:space="0" w:color="auto"/>
      </w:divBdr>
    </w:div>
    <w:div w:id="1972897783">
      <w:bodyDiv w:val="1"/>
      <w:marLeft w:val="0"/>
      <w:marRight w:val="0"/>
      <w:marTop w:val="0"/>
      <w:marBottom w:val="0"/>
      <w:divBdr>
        <w:top w:val="none" w:sz="0" w:space="0" w:color="auto"/>
        <w:left w:val="none" w:sz="0" w:space="0" w:color="auto"/>
        <w:bottom w:val="none" w:sz="0" w:space="0" w:color="auto"/>
        <w:right w:val="none" w:sz="0" w:space="0" w:color="auto"/>
      </w:divBdr>
    </w:div>
    <w:div w:id="1986155101">
      <w:bodyDiv w:val="1"/>
      <w:marLeft w:val="0"/>
      <w:marRight w:val="0"/>
      <w:marTop w:val="0"/>
      <w:marBottom w:val="0"/>
      <w:divBdr>
        <w:top w:val="none" w:sz="0" w:space="0" w:color="auto"/>
        <w:left w:val="none" w:sz="0" w:space="0" w:color="auto"/>
        <w:bottom w:val="none" w:sz="0" w:space="0" w:color="auto"/>
        <w:right w:val="none" w:sz="0" w:space="0" w:color="auto"/>
      </w:divBdr>
    </w:div>
    <w:div w:id="20991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lkgen.org/post/gambling-explained-gambling-act-review-evidence-submission"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28C4-03B8-4863-A226-6378093C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2</cp:revision>
  <cp:lastPrinted>2020-11-25T09:54:00Z</cp:lastPrinted>
  <dcterms:created xsi:type="dcterms:W3CDTF">2021-04-29T10:34:00Z</dcterms:created>
  <dcterms:modified xsi:type="dcterms:W3CDTF">2021-04-29T10:34:00Z</dcterms:modified>
</cp:coreProperties>
</file>