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FFF" w:rsidRDefault="00BA5FFF" w:rsidP="00BA5FFF">
      <w:pPr>
        <w:pStyle w:val="PlainText"/>
        <w:jc w:val="center"/>
        <w:rPr>
          <w:b/>
        </w:rPr>
      </w:pPr>
      <w:r>
        <w:rPr>
          <w:b/>
        </w:rPr>
        <w:t>M</w:t>
      </w:r>
      <w:r w:rsidRPr="001805E8">
        <w:rPr>
          <w:b/>
        </w:rPr>
        <w:t>eeting of the Gambling Health Alliance</w:t>
      </w:r>
    </w:p>
    <w:p w:rsidR="00BA5FFF" w:rsidRPr="001805E8" w:rsidRDefault="00BA5FFF" w:rsidP="00BA5FFF">
      <w:pPr>
        <w:pStyle w:val="PlainText"/>
        <w:ind w:left="360"/>
        <w:jc w:val="center"/>
        <w:rPr>
          <w:b/>
        </w:rPr>
      </w:pPr>
      <w:r w:rsidRPr="001805E8">
        <w:rPr>
          <w:b/>
        </w:rPr>
        <w:t>9.30 – 13.00</w:t>
      </w:r>
    </w:p>
    <w:p w:rsidR="00BA5FFF" w:rsidRDefault="00BA5FFF" w:rsidP="00BA5FFF">
      <w:pPr>
        <w:pStyle w:val="PlainText"/>
        <w:ind w:left="360"/>
        <w:jc w:val="center"/>
        <w:rPr>
          <w:b/>
        </w:rPr>
      </w:pPr>
      <w:r w:rsidRPr="001805E8">
        <w:rPr>
          <w:b/>
        </w:rPr>
        <w:t>13</w:t>
      </w:r>
      <w:r w:rsidRPr="001805E8">
        <w:rPr>
          <w:b/>
          <w:vertAlign w:val="superscript"/>
        </w:rPr>
        <w:t>th</w:t>
      </w:r>
      <w:r w:rsidRPr="001805E8">
        <w:rPr>
          <w:b/>
        </w:rPr>
        <w:t xml:space="preserve"> February 2020</w:t>
      </w:r>
    </w:p>
    <w:p w:rsidR="00BA5FFF" w:rsidRPr="001805E8" w:rsidRDefault="00BA5FFF" w:rsidP="00BA5FFF">
      <w:pPr>
        <w:pStyle w:val="PlainText"/>
        <w:ind w:left="360"/>
        <w:jc w:val="center"/>
        <w:rPr>
          <w:b/>
        </w:rPr>
      </w:pPr>
      <w:r>
        <w:rPr>
          <w:b/>
        </w:rPr>
        <w:t xml:space="preserve">41 Portland Place </w:t>
      </w:r>
      <w:r w:rsidRPr="0021628E">
        <w:rPr>
          <w:b/>
        </w:rPr>
        <w:t>Marylebone, London W1B 1QH</w:t>
      </w:r>
    </w:p>
    <w:p w:rsidR="00BA5FFF" w:rsidRDefault="00BA5FFF" w:rsidP="00BA5FFF"/>
    <w:p w:rsidR="00BA5FFF" w:rsidRPr="004E14BD" w:rsidRDefault="00BA5FFF" w:rsidP="00BA5FFF">
      <w:pPr>
        <w:rPr>
          <w:b/>
        </w:rPr>
      </w:pPr>
      <w:r w:rsidRPr="004E14BD">
        <w:rPr>
          <w:b/>
        </w:rPr>
        <w:t>Attendees</w:t>
      </w:r>
    </w:p>
    <w:tbl>
      <w:tblPr>
        <w:tblStyle w:val="TableGrid"/>
        <w:tblW w:w="9067" w:type="dxa"/>
        <w:tblLook w:val="04A0" w:firstRow="1" w:lastRow="0" w:firstColumn="1" w:lastColumn="0" w:noHBand="0" w:noVBand="1"/>
      </w:tblPr>
      <w:tblGrid>
        <w:gridCol w:w="2998"/>
        <w:gridCol w:w="2512"/>
        <w:gridCol w:w="1856"/>
        <w:gridCol w:w="1701"/>
      </w:tblGrid>
      <w:tr w:rsidR="00BA5FFF" w:rsidRPr="00F17FC7" w:rsidTr="00DB31DA">
        <w:trPr>
          <w:trHeight w:val="298"/>
        </w:trPr>
        <w:tc>
          <w:tcPr>
            <w:tcW w:w="2998" w:type="dxa"/>
            <w:noWrap/>
            <w:hideMark/>
          </w:tcPr>
          <w:p w:rsidR="00BA5FFF" w:rsidRPr="00F17FC7" w:rsidRDefault="00BA5FFF" w:rsidP="00DB31DA"/>
          <w:p w:rsidR="00BA5FFF" w:rsidRPr="00F17FC7" w:rsidRDefault="00BA5FFF" w:rsidP="00DB31DA">
            <w:pPr>
              <w:rPr>
                <w:b/>
                <w:bCs/>
              </w:rPr>
            </w:pPr>
            <w:r w:rsidRPr="00F17FC7">
              <w:rPr>
                <w:b/>
                <w:bCs/>
              </w:rPr>
              <w:t xml:space="preserve">Name </w:t>
            </w:r>
          </w:p>
        </w:tc>
        <w:tc>
          <w:tcPr>
            <w:tcW w:w="2512" w:type="dxa"/>
            <w:noWrap/>
            <w:hideMark/>
          </w:tcPr>
          <w:p w:rsidR="00BA5FFF" w:rsidRPr="00F17FC7" w:rsidRDefault="00BA5FFF" w:rsidP="00DB31DA">
            <w:pPr>
              <w:rPr>
                <w:b/>
                <w:bCs/>
              </w:rPr>
            </w:pPr>
            <w:r w:rsidRPr="00F17FC7">
              <w:rPr>
                <w:b/>
                <w:bCs/>
              </w:rPr>
              <w:t xml:space="preserve">Organisation </w:t>
            </w:r>
          </w:p>
        </w:tc>
        <w:tc>
          <w:tcPr>
            <w:tcW w:w="1856" w:type="dxa"/>
            <w:noWrap/>
            <w:hideMark/>
          </w:tcPr>
          <w:p w:rsidR="00BA5FFF" w:rsidRPr="00F17FC7" w:rsidRDefault="00BA5FFF" w:rsidP="00DB31DA">
            <w:pPr>
              <w:rPr>
                <w:b/>
                <w:bCs/>
              </w:rPr>
            </w:pPr>
            <w:r>
              <w:rPr>
                <w:b/>
                <w:bCs/>
              </w:rPr>
              <w:t xml:space="preserve">In attendance </w:t>
            </w:r>
          </w:p>
        </w:tc>
        <w:tc>
          <w:tcPr>
            <w:tcW w:w="1701" w:type="dxa"/>
            <w:noWrap/>
            <w:hideMark/>
          </w:tcPr>
          <w:p w:rsidR="00BA5FFF" w:rsidRPr="00F17FC7" w:rsidRDefault="00BA5FFF" w:rsidP="00DB31DA">
            <w:pPr>
              <w:rPr>
                <w:b/>
                <w:bCs/>
              </w:rPr>
            </w:pPr>
            <w:r>
              <w:rPr>
                <w:b/>
                <w:bCs/>
              </w:rPr>
              <w:t>Conference line</w:t>
            </w:r>
            <w:r w:rsidRPr="00F17FC7">
              <w:rPr>
                <w:b/>
                <w:bCs/>
              </w:rPr>
              <w:t xml:space="preserve"> </w:t>
            </w:r>
          </w:p>
        </w:tc>
      </w:tr>
      <w:tr w:rsidR="00BA5FFF" w:rsidRPr="00F17FC7" w:rsidTr="00DB31DA">
        <w:trPr>
          <w:trHeight w:val="300"/>
        </w:trPr>
        <w:tc>
          <w:tcPr>
            <w:tcW w:w="2998" w:type="dxa"/>
            <w:noWrap/>
            <w:hideMark/>
          </w:tcPr>
          <w:p w:rsidR="00BA5FFF" w:rsidRPr="00410D8B" w:rsidRDefault="00BA5FFF" w:rsidP="00DB31DA">
            <w:pPr>
              <w:rPr>
                <w:rFonts w:ascii="Calibri" w:eastAsia="Times New Roman" w:hAnsi="Calibri" w:cs="Calibri"/>
                <w:color w:val="000000"/>
                <w:lang w:eastAsia="en-GB"/>
              </w:rPr>
            </w:pPr>
            <w:r w:rsidRPr="00410D8B">
              <w:rPr>
                <w:rFonts w:ascii="Calibri" w:eastAsia="Times New Roman" w:hAnsi="Calibri" w:cs="Calibri"/>
                <w:color w:val="000000"/>
                <w:lang w:eastAsia="en-GB"/>
              </w:rPr>
              <w:t>Aaron Mansfield</w:t>
            </w:r>
          </w:p>
        </w:tc>
        <w:tc>
          <w:tcPr>
            <w:tcW w:w="2512" w:type="dxa"/>
            <w:noWrap/>
            <w:hideMark/>
          </w:tcPr>
          <w:p w:rsidR="00BA5FFF" w:rsidRPr="00F17FC7" w:rsidRDefault="00BA5FFF" w:rsidP="00DB31DA">
            <w:pPr>
              <w:rPr>
                <w:rFonts w:ascii="Calibri" w:eastAsia="Times New Roman" w:hAnsi="Calibri" w:cs="Calibri"/>
                <w:color w:val="000000"/>
                <w:lang w:eastAsia="en-GB"/>
              </w:rPr>
            </w:pPr>
            <w:r w:rsidRPr="00F17FC7">
              <w:rPr>
                <w:rFonts w:ascii="Calibri" w:eastAsia="Times New Roman" w:hAnsi="Calibri" w:cs="Calibri"/>
                <w:color w:val="000000"/>
                <w:lang w:eastAsia="en-GB"/>
              </w:rPr>
              <w:t>RSPH</w:t>
            </w:r>
          </w:p>
        </w:tc>
        <w:tc>
          <w:tcPr>
            <w:tcW w:w="1856" w:type="dxa"/>
            <w:noWrap/>
          </w:tcPr>
          <w:p w:rsidR="00BA5FFF" w:rsidRPr="00F17FC7" w:rsidRDefault="00BA5FFF" w:rsidP="00DB31DA">
            <w:pPr>
              <w:rPr>
                <w:rFonts w:ascii="Calibri" w:eastAsia="Times New Roman" w:hAnsi="Calibri" w:cs="Calibri"/>
                <w:color w:val="000000"/>
                <w:lang w:eastAsia="en-GB"/>
              </w:rPr>
            </w:pPr>
            <w:r>
              <w:rPr>
                <w:rFonts w:ascii="Calibri" w:eastAsia="Times New Roman" w:hAnsi="Calibri" w:cs="Calibri"/>
                <w:color w:val="000000"/>
                <w:lang w:eastAsia="en-GB"/>
              </w:rPr>
              <w:t>X</w:t>
            </w:r>
          </w:p>
        </w:tc>
        <w:tc>
          <w:tcPr>
            <w:tcW w:w="1701" w:type="dxa"/>
            <w:noWrap/>
            <w:hideMark/>
          </w:tcPr>
          <w:p w:rsidR="00BA5FFF" w:rsidRPr="00F17FC7" w:rsidRDefault="00BA5FFF" w:rsidP="00DB31DA">
            <w:pPr>
              <w:rPr>
                <w:rFonts w:ascii="Calibri" w:eastAsia="Times New Roman" w:hAnsi="Calibri" w:cs="Calibri"/>
                <w:color w:val="000000"/>
                <w:lang w:eastAsia="en-GB"/>
              </w:rPr>
            </w:pPr>
          </w:p>
        </w:tc>
      </w:tr>
      <w:tr w:rsidR="00BA5FFF" w:rsidRPr="00F17FC7" w:rsidTr="00DB31DA">
        <w:trPr>
          <w:trHeight w:val="300"/>
        </w:trPr>
        <w:tc>
          <w:tcPr>
            <w:tcW w:w="2998" w:type="dxa"/>
            <w:noWrap/>
            <w:hideMark/>
          </w:tcPr>
          <w:p w:rsidR="00BA5FFF" w:rsidRPr="00410D8B" w:rsidRDefault="00BA5FFF" w:rsidP="00DB31DA">
            <w:pPr>
              <w:rPr>
                <w:rFonts w:ascii="Calibri" w:eastAsia="Times New Roman" w:hAnsi="Calibri" w:cs="Calibri"/>
                <w:color w:val="000000"/>
                <w:lang w:eastAsia="en-GB"/>
              </w:rPr>
            </w:pPr>
            <w:r w:rsidRPr="00410D8B">
              <w:rPr>
                <w:rFonts w:ascii="Calibri" w:eastAsia="Times New Roman" w:hAnsi="Calibri" w:cs="Calibri"/>
                <w:color w:val="000000"/>
                <w:lang w:eastAsia="en-GB"/>
              </w:rPr>
              <w:t xml:space="preserve">Aisling NiConchuir </w:t>
            </w:r>
          </w:p>
        </w:tc>
        <w:tc>
          <w:tcPr>
            <w:tcW w:w="2512" w:type="dxa"/>
            <w:noWrap/>
            <w:hideMark/>
          </w:tcPr>
          <w:p w:rsidR="00BA5FFF" w:rsidRPr="00F17FC7" w:rsidRDefault="00BA5FFF" w:rsidP="00DB31DA">
            <w:pPr>
              <w:rPr>
                <w:rFonts w:ascii="Calibri" w:eastAsia="Times New Roman" w:hAnsi="Calibri" w:cs="Calibri"/>
                <w:color w:val="000000"/>
                <w:lang w:eastAsia="en-GB"/>
              </w:rPr>
            </w:pPr>
            <w:r w:rsidRPr="00F17FC7">
              <w:rPr>
                <w:rFonts w:ascii="Calibri" w:eastAsia="Times New Roman" w:hAnsi="Calibri" w:cs="Calibri"/>
                <w:color w:val="000000"/>
                <w:lang w:eastAsia="en-GB"/>
              </w:rPr>
              <w:t>B</w:t>
            </w:r>
            <w:r>
              <w:rPr>
                <w:rFonts w:ascii="Calibri" w:eastAsia="Times New Roman" w:hAnsi="Calibri" w:cs="Calibri"/>
                <w:color w:val="000000"/>
                <w:lang w:eastAsia="en-GB"/>
              </w:rPr>
              <w:t xml:space="preserve">ehavioural Insights Team </w:t>
            </w:r>
          </w:p>
        </w:tc>
        <w:tc>
          <w:tcPr>
            <w:tcW w:w="1856" w:type="dxa"/>
            <w:noWrap/>
          </w:tcPr>
          <w:p w:rsidR="00BA5FFF" w:rsidRPr="00F17FC7" w:rsidRDefault="00BA5FFF" w:rsidP="00DB31DA">
            <w:pPr>
              <w:rPr>
                <w:rFonts w:ascii="Calibri" w:eastAsia="Times New Roman" w:hAnsi="Calibri" w:cs="Calibri"/>
                <w:color w:val="000000"/>
                <w:lang w:eastAsia="en-GB"/>
              </w:rPr>
            </w:pPr>
            <w:r>
              <w:rPr>
                <w:rFonts w:ascii="Calibri" w:eastAsia="Times New Roman" w:hAnsi="Calibri" w:cs="Calibri"/>
                <w:color w:val="000000"/>
                <w:lang w:eastAsia="en-GB"/>
              </w:rPr>
              <w:t>X</w:t>
            </w:r>
          </w:p>
        </w:tc>
        <w:tc>
          <w:tcPr>
            <w:tcW w:w="1701" w:type="dxa"/>
            <w:noWrap/>
            <w:hideMark/>
          </w:tcPr>
          <w:p w:rsidR="00BA5FFF" w:rsidRPr="00F17FC7" w:rsidRDefault="00BA5FFF" w:rsidP="00DB31DA">
            <w:pPr>
              <w:rPr>
                <w:rFonts w:ascii="Calibri" w:eastAsia="Times New Roman" w:hAnsi="Calibri" w:cs="Calibri"/>
                <w:color w:val="000000"/>
                <w:lang w:eastAsia="en-GB"/>
              </w:rPr>
            </w:pPr>
          </w:p>
        </w:tc>
      </w:tr>
      <w:tr w:rsidR="00BA5FFF" w:rsidRPr="00F17FC7" w:rsidTr="00DB31DA">
        <w:trPr>
          <w:trHeight w:val="300"/>
        </w:trPr>
        <w:tc>
          <w:tcPr>
            <w:tcW w:w="2998" w:type="dxa"/>
            <w:noWrap/>
            <w:hideMark/>
          </w:tcPr>
          <w:p w:rsidR="00BA5FFF" w:rsidRPr="00410D8B" w:rsidRDefault="00BA5FFF" w:rsidP="00DB31DA">
            <w:pPr>
              <w:rPr>
                <w:rFonts w:ascii="Calibri" w:eastAsia="Times New Roman" w:hAnsi="Calibri" w:cs="Calibri"/>
                <w:color w:val="000000"/>
                <w:lang w:eastAsia="en-GB"/>
              </w:rPr>
            </w:pPr>
            <w:r w:rsidRPr="00410D8B">
              <w:rPr>
                <w:rFonts w:ascii="Calibri" w:eastAsia="Times New Roman" w:hAnsi="Calibri" w:cs="Calibri"/>
                <w:color w:val="000000"/>
                <w:lang w:eastAsia="en-GB"/>
              </w:rPr>
              <w:t>Alison Mather</w:t>
            </w:r>
          </w:p>
        </w:tc>
        <w:tc>
          <w:tcPr>
            <w:tcW w:w="2512" w:type="dxa"/>
            <w:noWrap/>
            <w:hideMark/>
          </w:tcPr>
          <w:p w:rsidR="00BA5FFF" w:rsidRPr="00F17FC7" w:rsidRDefault="00BA5FFF" w:rsidP="00DB31DA">
            <w:pPr>
              <w:rPr>
                <w:rFonts w:ascii="Calibri" w:eastAsia="Times New Roman" w:hAnsi="Calibri" w:cs="Calibri"/>
                <w:color w:val="000000"/>
                <w:lang w:eastAsia="en-GB"/>
              </w:rPr>
            </w:pPr>
            <w:r>
              <w:rPr>
                <w:rFonts w:ascii="Calibri" w:eastAsia="Times New Roman" w:hAnsi="Calibri" w:cs="Calibri"/>
                <w:color w:val="000000"/>
                <w:lang w:eastAsia="en-GB"/>
              </w:rPr>
              <w:t>Quaker Action Against Alcohol and Drugs</w:t>
            </w:r>
          </w:p>
        </w:tc>
        <w:tc>
          <w:tcPr>
            <w:tcW w:w="1856" w:type="dxa"/>
            <w:noWrap/>
          </w:tcPr>
          <w:p w:rsidR="00BA5FFF" w:rsidRPr="00F17FC7" w:rsidRDefault="00BA5FFF" w:rsidP="00DB31DA">
            <w:pPr>
              <w:rPr>
                <w:rFonts w:ascii="Calibri" w:eastAsia="Times New Roman" w:hAnsi="Calibri" w:cs="Calibri"/>
                <w:color w:val="000000"/>
                <w:lang w:eastAsia="en-GB"/>
              </w:rPr>
            </w:pPr>
            <w:r>
              <w:rPr>
                <w:rFonts w:ascii="Calibri" w:eastAsia="Times New Roman" w:hAnsi="Calibri" w:cs="Calibri"/>
                <w:color w:val="000000"/>
                <w:lang w:eastAsia="en-GB"/>
              </w:rPr>
              <w:t>X</w:t>
            </w:r>
          </w:p>
        </w:tc>
        <w:tc>
          <w:tcPr>
            <w:tcW w:w="1701" w:type="dxa"/>
            <w:noWrap/>
            <w:hideMark/>
          </w:tcPr>
          <w:p w:rsidR="00BA5FFF" w:rsidRPr="00F17FC7" w:rsidRDefault="00BA5FFF" w:rsidP="00DB31DA">
            <w:pPr>
              <w:rPr>
                <w:rFonts w:ascii="Calibri" w:eastAsia="Times New Roman" w:hAnsi="Calibri" w:cs="Calibri"/>
                <w:color w:val="000000"/>
                <w:lang w:eastAsia="en-GB"/>
              </w:rPr>
            </w:pPr>
          </w:p>
        </w:tc>
      </w:tr>
      <w:tr w:rsidR="00BA5FFF" w:rsidRPr="00F17FC7" w:rsidTr="00DB31DA">
        <w:trPr>
          <w:trHeight w:val="300"/>
        </w:trPr>
        <w:tc>
          <w:tcPr>
            <w:tcW w:w="2998" w:type="dxa"/>
            <w:noWrap/>
            <w:hideMark/>
          </w:tcPr>
          <w:p w:rsidR="00BA5FFF" w:rsidRPr="00410D8B" w:rsidRDefault="00BA5FFF" w:rsidP="00DB31DA">
            <w:pPr>
              <w:rPr>
                <w:rFonts w:ascii="Calibri" w:eastAsia="Times New Roman" w:hAnsi="Calibri" w:cs="Calibri"/>
                <w:color w:val="000000"/>
                <w:lang w:eastAsia="en-GB"/>
              </w:rPr>
            </w:pPr>
            <w:r w:rsidRPr="00410D8B">
              <w:rPr>
                <w:rFonts w:ascii="Calibri" w:eastAsia="Times New Roman" w:hAnsi="Calibri" w:cs="Calibri"/>
                <w:color w:val="000000"/>
                <w:lang w:eastAsia="en-GB"/>
              </w:rPr>
              <w:t>Andrew Taylor</w:t>
            </w:r>
          </w:p>
        </w:tc>
        <w:tc>
          <w:tcPr>
            <w:tcW w:w="2512" w:type="dxa"/>
            <w:noWrap/>
            <w:hideMark/>
          </w:tcPr>
          <w:p w:rsidR="00BA5FFF" w:rsidRPr="00F17FC7" w:rsidRDefault="00BA5FFF" w:rsidP="00DB31DA">
            <w:pPr>
              <w:rPr>
                <w:rFonts w:ascii="Calibri" w:eastAsia="Times New Roman" w:hAnsi="Calibri" w:cs="Calibri"/>
                <w:color w:val="000000"/>
                <w:lang w:eastAsia="en-GB"/>
              </w:rPr>
            </w:pPr>
            <w:r w:rsidRPr="00F17FC7">
              <w:rPr>
                <w:rFonts w:ascii="Calibri" w:eastAsia="Times New Roman" w:hAnsi="Calibri" w:cs="Calibri"/>
                <w:color w:val="000000"/>
                <w:lang w:eastAsia="en-GB"/>
              </w:rPr>
              <w:t>C</w:t>
            </w:r>
            <w:r>
              <w:rPr>
                <w:rFonts w:ascii="Calibri" w:eastAsia="Times New Roman" w:hAnsi="Calibri" w:cs="Calibri"/>
                <w:color w:val="000000"/>
                <w:lang w:eastAsia="en-GB"/>
              </w:rPr>
              <w:t xml:space="preserve">ommittee on </w:t>
            </w:r>
            <w:r w:rsidRPr="00F17FC7">
              <w:rPr>
                <w:rFonts w:ascii="Calibri" w:eastAsia="Times New Roman" w:hAnsi="Calibri" w:cs="Calibri"/>
                <w:color w:val="000000"/>
                <w:lang w:eastAsia="en-GB"/>
              </w:rPr>
              <w:t>A</w:t>
            </w:r>
            <w:r>
              <w:rPr>
                <w:rFonts w:ascii="Calibri" w:eastAsia="Times New Roman" w:hAnsi="Calibri" w:cs="Calibri"/>
                <w:color w:val="000000"/>
                <w:lang w:eastAsia="en-GB"/>
              </w:rPr>
              <w:t xml:space="preserve">dvertising </w:t>
            </w:r>
          </w:p>
        </w:tc>
        <w:tc>
          <w:tcPr>
            <w:tcW w:w="1856" w:type="dxa"/>
            <w:noWrap/>
          </w:tcPr>
          <w:p w:rsidR="00BA5FFF" w:rsidRPr="00F17FC7" w:rsidRDefault="00BA5FFF" w:rsidP="00DB31DA">
            <w:pPr>
              <w:rPr>
                <w:rFonts w:ascii="Calibri" w:eastAsia="Times New Roman" w:hAnsi="Calibri" w:cs="Calibri"/>
                <w:color w:val="000000"/>
                <w:lang w:eastAsia="en-GB"/>
              </w:rPr>
            </w:pPr>
            <w:r>
              <w:rPr>
                <w:rFonts w:ascii="Calibri" w:eastAsia="Times New Roman" w:hAnsi="Calibri" w:cs="Calibri"/>
                <w:color w:val="000000"/>
                <w:lang w:eastAsia="en-GB"/>
              </w:rPr>
              <w:t>X</w:t>
            </w:r>
          </w:p>
        </w:tc>
        <w:tc>
          <w:tcPr>
            <w:tcW w:w="1701" w:type="dxa"/>
            <w:noWrap/>
            <w:hideMark/>
          </w:tcPr>
          <w:p w:rsidR="00BA5FFF" w:rsidRPr="00F17FC7" w:rsidRDefault="00BA5FFF" w:rsidP="00DB31DA">
            <w:pPr>
              <w:rPr>
                <w:rFonts w:ascii="Calibri" w:eastAsia="Times New Roman" w:hAnsi="Calibri" w:cs="Calibri"/>
                <w:color w:val="000000"/>
                <w:lang w:eastAsia="en-GB"/>
              </w:rPr>
            </w:pPr>
          </w:p>
        </w:tc>
      </w:tr>
      <w:tr w:rsidR="00BA5FFF" w:rsidRPr="00F17FC7" w:rsidTr="00DB31DA">
        <w:trPr>
          <w:trHeight w:val="298"/>
        </w:trPr>
        <w:tc>
          <w:tcPr>
            <w:tcW w:w="2998" w:type="dxa"/>
            <w:noWrap/>
          </w:tcPr>
          <w:p w:rsidR="00BA5FFF" w:rsidRPr="00F17FC7" w:rsidRDefault="00BA5FFF" w:rsidP="00DB31DA">
            <w:r>
              <w:t>Anna Adams</w:t>
            </w:r>
          </w:p>
        </w:tc>
        <w:tc>
          <w:tcPr>
            <w:tcW w:w="2512" w:type="dxa"/>
            <w:noWrap/>
          </w:tcPr>
          <w:p w:rsidR="00BA5FFF" w:rsidRPr="00F17FC7" w:rsidRDefault="00BA5FFF" w:rsidP="00DB31DA">
            <w:r>
              <w:t xml:space="preserve">Citizens Advice Hampshire </w:t>
            </w:r>
          </w:p>
        </w:tc>
        <w:tc>
          <w:tcPr>
            <w:tcW w:w="1856" w:type="dxa"/>
            <w:noWrap/>
          </w:tcPr>
          <w:p w:rsidR="00BA5FFF" w:rsidRPr="00F17FC7" w:rsidRDefault="00BA5FFF" w:rsidP="00DB31DA">
            <w:r>
              <w:t>X</w:t>
            </w:r>
          </w:p>
        </w:tc>
        <w:tc>
          <w:tcPr>
            <w:tcW w:w="1701" w:type="dxa"/>
            <w:noWrap/>
          </w:tcPr>
          <w:p w:rsidR="00BA5FFF" w:rsidRPr="00F17FC7" w:rsidRDefault="00BA5FFF" w:rsidP="00DB31DA"/>
        </w:tc>
      </w:tr>
      <w:tr w:rsidR="00BA5FFF" w:rsidRPr="00F17FC7" w:rsidTr="00DB31DA">
        <w:trPr>
          <w:trHeight w:val="300"/>
        </w:trPr>
        <w:tc>
          <w:tcPr>
            <w:tcW w:w="2998" w:type="dxa"/>
            <w:noWrap/>
          </w:tcPr>
          <w:p w:rsidR="00BA5FFF" w:rsidRPr="00410D8B" w:rsidRDefault="00BA5FFF" w:rsidP="00DB31DA">
            <w:pPr>
              <w:rPr>
                <w:rFonts w:ascii="Calibri" w:eastAsia="Times New Roman" w:hAnsi="Calibri" w:cs="Calibri"/>
                <w:color w:val="000000"/>
                <w:lang w:eastAsia="en-GB"/>
              </w:rPr>
            </w:pPr>
            <w:r w:rsidRPr="00410D8B">
              <w:rPr>
                <w:rFonts w:ascii="Calibri" w:eastAsia="Times New Roman" w:hAnsi="Calibri" w:cs="Calibri"/>
                <w:color w:val="000000"/>
                <w:lang w:eastAsia="en-GB"/>
              </w:rPr>
              <w:t>Anna Niemczewska</w:t>
            </w:r>
          </w:p>
        </w:tc>
        <w:tc>
          <w:tcPr>
            <w:tcW w:w="2512" w:type="dxa"/>
            <w:noWrap/>
          </w:tcPr>
          <w:p w:rsidR="00BA5FFF" w:rsidRPr="00F17FC7" w:rsidRDefault="00BA5FFF" w:rsidP="00DB31DA">
            <w:pPr>
              <w:rPr>
                <w:rFonts w:ascii="Calibri" w:eastAsia="Times New Roman" w:hAnsi="Calibri" w:cs="Calibri"/>
                <w:color w:val="000000"/>
                <w:lang w:eastAsia="en-GB"/>
              </w:rPr>
            </w:pPr>
            <w:r>
              <w:rPr>
                <w:rFonts w:ascii="Calibri" w:eastAsia="Times New Roman" w:hAnsi="Calibri" w:cs="Calibri"/>
                <w:color w:val="000000"/>
                <w:lang w:eastAsia="en-GB"/>
              </w:rPr>
              <w:t>BetKnowMore</w:t>
            </w:r>
          </w:p>
        </w:tc>
        <w:tc>
          <w:tcPr>
            <w:tcW w:w="1856" w:type="dxa"/>
            <w:noWrap/>
          </w:tcPr>
          <w:p w:rsidR="00BA5FFF" w:rsidRPr="00F17FC7" w:rsidRDefault="00BA5FFF" w:rsidP="00DB31DA">
            <w:pPr>
              <w:rPr>
                <w:rFonts w:ascii="Calibri" w:eastAsia="Times New Roman" w:hAnsi="Calibri" w:cs="Calibri"/>
                <w:color w:val="000000"/>
                <w:lang w:eastAsia="en-GB"/>
              </w:rPr>
            </w:pPr>
            <w:r>
              <w:rPr>
                <w:rFonts w:ascii="Calibri" w:eastAsia="Times New Roman" w:hAnsi="Calibri" w:cs="Calibri"/>
                <w:color w:val="000000"/>
                <w:lang w:eastAsia="en-GB"/>
              </w:rPr>
              <w:t>X</w:t>
            </w:r>
          </w:p>
        </w:tc>
        <w:tc>
          <w:tcPr>
            <w:tcW w:w="1701" w:type="dxa"/>
            <w:noWrap/>
            <w:hideMark/>
          </w:tcPr>
          <w:p w:rsidR="00BA5FFF" w:rsidRPr="00F17FC7" w:rsidRDefault="00BA5FFF" w:rsidP="00DB31DA">
            <w:pPr>
              <w:rPr>
                <w:rFonts w:ascii="Calibri" w:eastAsia="Times New Roman" w:hAnsi="Calibri" w:cs="Calibri"/>
                <w:color w:val="000000"/>
                <w:lang w:eastAsia="en-GB"/>
              </w:rPr>
            </w:pPr>
          </w:p>
        </w:tc>
      </w:tr>
      <w:tr w:rsidR="00BA5FFF" w:rsidRPr="00F17FC7" w:rsidTr="00DB31DA">
        <w:trPr>
          <w:trHeight w:val="368"/>
        </w:trPr>
        <w:tc>
          <w:tcPr>
            <w:tcW w:w="2998" w:type="dxa"/>
            <w:noWrap/>
            <w:hideMark/>
          </w:tcPr>
          <w:p w:rsidR="00BA5FFF" w:rsidRPr="00410D8B" w:rsidRDefault="00BA5FFF" w:rsidP="00DB31DA">
            <w:pPr>
              <w:rPr>
                <w:rFonts w:ascii="Calibri" w:eastAsia="Times New Roman" w:hAnsi="Calibri" w:cs="Calibri"/>
                <w:color w:val="000000"/>
                <w:lang w:eastAsia="en-GB"/>
              </w:rPr>
            </w:pPr>
            <w:r w:rsidRPr="00410D8B">
              <w:rPr>
                <w:rFonts w:ascii="Calibri" w:eastAsia="Times New Roman" w:hAnsi="Calibri" w:cs="Calibri"/>
                <w:color w:val="000000"/>
                <w:lang w:eastAsia="en-GB"/>
              </w:rPr>
              <w:t>Chiara Marin</w:t>
            </w:r>
          </w:p>
        </w:tc>
        <w:tc>
          <w:tcPr>
            <w:tcW w:w="2512" w:type="dxa"/>
            <w:noWrap/>
            <w:hideMark/>
          </w:tcPr>
          <w:p w:rsidR="00BA5FFF" w:rsidRPr="00F17FC7" w:rsidRDefault="00BA5FFF" w:rsidP="00DB31DA">
            <w:pPr>
              <w:rPr>
                <w:rFonts w:ascii="Calibri" w:eastAsia="Times New Roman" w:hAnsi="Calibri" w:cs="Calibri"/>
                <w:color w:val="000000"/>
                <w:lang w:eastAsia="en-GB"/>
              </w:rPr>
            </w:pPr>
            <w:r w:rsidRPr="00F17FC7">
              <w:rPr>
                <w:rFonts w:ascii="Calibri" w:eastAsia="Times New Roman" w:hAnsi="Calibri" w:cs="Calibri"/>
                <w:color w:val="000000"/>
                <w:lang w:eastAsia="en-GB"/>
              </w:rPr>
              <w:t xml:space="preserve">FastForward </w:t>
            </w:r>
          </w:p>
        </w:tc>
        <w:tc>
          <w:tcPr>
            <w:tcW w:w="1856" w:type="dxa"/>
            <w:noWrap/>
          </w:tcPr>
          <w:p w:rsidR="00BA5FFF" w:rsidRPr="00F17FC7" w:rsidRDefault="00BA5FFF" w:rsidP="00DB31DA">
            <w:pPr>
              <w:rPr>
                <w:rFonts w:ascii="Calibri" w:eastAsia="Times New Roman" w:hAnsi="Calibri" w:cs="Calibri"/>
                <w:color w:val="000000"/>
                <w:lang w:eastAsia="en-GB"/>
              </w:rPr>
            </w:pPr>
          </w:p>
        </w:tc>
        <w:tc>
          <w:tcPr>
            <w:tcW w:w="1701" w:type="dxa"/>
            <w:noWrap/>
            <w:hideMark/>
          </w:tcPr>
          <w:p w:rsidR="00BA5FFF" w:rsidRPr="00F17FC7" w:rsidRDefault="00BA5FFF" w:rsidP="00DB31DA">
            <w:pPr>
              <w:rPr>
                <w:rFonts w:ascii="Calibri" w:eastAsia="Times New Roman" w:hAnsi="Calibri" w:cs="Calibri"/>
                <w:color w:val="000000"/>
                <w:lang w:eastAsia="en-GB"/>
              </w:rPr>
            </w:pPr>
            <w:r w:rsidRPr="00F17FC7">
              <w:rPr>
                <w:rFonts w:ascii="Calibri" w:eastAsia="Times New Roman" w:hAnsi="Calibri" w:cs="Calibri"/>
                <w:color w:val="000000"/>
                <w:lang w:eastAsia="en-GB"/>
              </w:rPr>
              <w:t>X</w:t>
            </w:r>
          </w:p>
        </w:tc>
      </w:tr>
      <w:tr w:rsidR="007F7FFE" w:rsidRPr="00F17FC7" w:rsidTr="00DB31DA">
        <w:trPr>
          <w:trHeight w:val="368"/>
        </w:trPr>
        <w:tc>
          <w:tcPr>
            <w:tcW w:w="2998" w:type="dxa"/>
            <w:noWrap/>
          </w:tcPr>
          <w:p w:rsidR="007F7FFE" w:rsidRPr="00410D8B" w:rsidRDefault="007F7FFE" w:rsidP="00DB31DA">
            <w:pPr>
              <w:rPr>
                <w:rFonts w:ascii="Calibri" w:eastAsia="Times New Roman" w:hAnsi="Calibri" w:cs="Calibri"/>
                <w:color w:val="000000"/>
                <w:lang w:eastAsia="en-GB"/>
              </w:rPr>
            </w:pPr>
            <w:r>
              <w:rPr>
                <w:rFonts w:ascii="Calibri" w:eastAsia="Times New Roman" w:hAnsi="Calibri" w:cs="Calibri"/>
                <w:color w:val="000000"/>
                <w:lang w:eastAsia="en-GB"/>
              </w:rPr>
              <w:t>Chris Stein</w:t>
            </w:r>
          </w:p>
        </w:tc>
        <w:tc>
          <w:tcPr>
            <w:tcW w:w="2512" w:type="dxa"/>
            <w:noWrap/>
          </w:tcPr>
          <w:p w:rsidR="007F7FFE" w:rsidRPr="00F17FC7" w:rsidRDefault="007F7FFE" w:rsidP="00DB31DA">
            <w:pPr>
              <w:rPr>
                <w:rFonts w:ascii="Calibri" w:eastAsia="Times New Roman" w:hAnsi="Calibri" w:cs="Calibri"/>
                <w:color w:val="000000"/>
                <w:lang w:eastAsia="en-GB"/>
              </w:rPr>
            </w:pPr>
            <w:r>
              <w:rPr>
                <w:rFonts w:ascii="Calibri" w:eastAsia="Times New Roman" w:hAnsi="Calibri" w:cs="Calibri"/>
                <w:color w:val="000000"/>
                <w:lang w:eastAsia="en-GB"/>
              </w:rPr>
              <w:t xml:space="preserve">Men’s Health Forum </w:t>
            </w:r>
            <w:bookmarkStart w:id="0" w:name="_GoBack"/>
            <w:bookmarkEnd w:id="0"/>
          </w:p>
        </w:tc>
        <w:tc>
          <w:tcPr>
            <w:tcW w:w="1856" w:type="dxa"/>
            <w:noWrap/>
          </w:tcPr>
          <w:p w:rsidR="007F7FFE" w:rsidRPr="00F17FC7" w:rsidRDefault="007F7FFE" w:rsidP="00DB31DA">
            <w:pPr>
              <w:rPr>
                <w:rFonts w:ascii="Calibri" w:eastAsia="Times New Roman" w:hAnsi="Calibri" w:cs="Calibri"/>
                <w:color w:val="000000"/>
                <w:lang w:eastAsia="en-GB"/>
              </w:rPr>
            </w:pPr>
            <w:r>
              <w:rPr>
                <w:rFonts w:ascii="Calibri" w:eastAsia="Times New Roman" w:hAnsi="Calibri" w:cs="Calibri"/>
                <w:color w:val="000000"/>
                <w:lang w:eastAsia="en-GB"/>
              </w:rPr>
              <w:t>X</w:t>
            </w:r>
          </w:p>
        </w:tc>
        <w:tc>
          <w:tcPr>
            <w:tcW w:w="1701" w:type="dxa"/>
            <w:noWrap/>
          </w:tcPr>
          <w:p w:rsidR="007F7FFE" w:rsidRPr="00F17FC7" w:rsidRDefault="007F7FFE" w:rsidP="00DB31DA">
            <w:pPr>
              <w:rPr>
                <w:rFonts w:ascii="Calibri" w:eastAsia="Times New Roman" w:hAnsi="Calibri" w:cs="Calibri"/>
                <w:color w:val="000000"/>
                <w:lang w:eastAsia="en-GB"/>
              </w:rPr>
            </w:pPr>
          </w:p>
        </w:tc>
      </w:tr>
      <w:tr w:rsidR="00BA5FFF" w:rsidRPr="00F17FC7" w:rsidTr="00DB31DA">
        <w:trPr>
          <w:trHeight w:val="368"/>
        </w:trPr>
        <w:tc>
          <w:tcPr>
            <w:tcW w:w="2998" w:type="dxa"/>
            <w:noWrap/>
          </w:tcPr>
          <w:p w:rsidR="00BA5FFF" w:rsidRPr="00410D8B" w:rsidRDefault="00BA5FFF" w:rsidP="00DB31DA">
            <w:pPr>
              <w:rPr>
                <w:rFonts w:ascii="Calibri" w:eastAsia="Times New Roman" w:hAnsi="Calibri" w:cs="Calibri"/>
                <w:color w:val="000000"/>
                <w:lang w:eastAsia="en-GB"/>
              </w:rPr>
            </w:pPr>
            <w:r>
              <w:rPr>
                <w:rFonts w:ascii="Calibri" w:eastAsia="Times New Roman" w:hAnsi="Calibri" w:cs="Calibri"/>
                <w:color w:val="000000"/>
                <w:lang w:eastAsia="en-GB"/>
              </w:rPr>
              <w:t>Chris Webster</w:t>
            </w:r>
          </w:p>
        </w:tc>
        <w:tc>
          <w:tcPr>
            <w:tcW w:w="2512" w:type="dxa"/>
            <w:noWrap/>
          </w:tcPr>
          <w:p w:rsidR="00BA5FFF" w:rsidRPr="00F17FC7" w:rsidRDefault="00BA5FFF" w:rsidP="00DB31DA">
            <w:pPr>
              <w:rPr>
                <w:rFonts w:ascii="Calibri" w:eastAsia="Times New Roman" w:hAnsi="Calibri" w:cs="Calibri"/>
                <w:color w:val="000000"/>
                <w:lang w:eastAsia="en-GB"/>
              </w:rPr>
            </w:pPr>
            <w:r w:rsidRPr="002C6BC6">
              <w:rPr>
                <w:rFonts w:ascii="Calibri" w:eastAsia="Times New Roman" w:hAnsi="Calibri" w:cs="Calibri"/>
                <w:color w:val="000000"/>
                <w:lang w:eastAsia="en-GB"/>
              </w:rPr>
              <w:t>Citizens Advice North Oxfordshire &amp; South Northants</w:t>
            </w:r>
            <w:r>
              <w:rPr>
                <w:rFonts w:ascii="Calibri" w:eastAsia="Times New Roman" w:hAnsi="Calibri" w:cs="Calibri"/>
                <w:color w:val="000000"/>
                <w:lang w:eastAsia="en-GB"/>
              </w:rPr>
              <w:t xml:space="preserve"> </w:t>
            </w:r>
          </w:p>
        </w:tc>
        <w:tc>
          <w:tcPr>
            <w:tcW w:w="1856" w:type="dxa"/>
            <w:noWrap/>
          </w:tcPr>
          <w:p w:rsidR="00BA5FFF" w:rsidRPr="00F17FC7" w:rsidRDefault="00BA5FFF" w:rsidP="00DB31DA">
            <w:pPr>
              <w:rPr>
                <w:rFonts w:ascii="Calibri" w:eastAsia="Times New Roman" w:hAnsi="Calibri" w:cs="Calibri"/>
                <w:color w:val="000000"/>
                <w:lang w:eastAsia="en-GB"/>
              </w:rPr>
            </w:pPr>
            <w:r>
              <w:rPr>
                <w:rFonts w:ascii="Calibri" w:eastAsia="Times New Roman" w:hAnsi="Calibri" w:cs="Calibri"/>
                <w:color w:val="000000"/>
                <w:lang w:eastAsia="en-GB"/>
              </w:rPr>
              <w:t>X</w:t>
            </w:r>
          </w:p>
        </w:tc>
        <w:tc>
          <w:tcPr>
            <w:tcW w:w="1701" w:type="dxa"/>
            <w:noWrap/>
          </w:tcPr>
          <w:p w:rsidR="00BA5FFF" w:rsidRPr="00F17FC7" w:rsidRDefault="00BA5FFF" w:rsidP="00DB31DA">
            <w:pPr>
              <w:rPr>
                <w:rFonts w:ascii="Calibri" w:eastAsia="Times New Roman" w:hAnsi="Calibri" w:cs="Calibri"/>
                <w:color w:val="000000"/>
                <w:lang w:eastAsia="en-GB"/>
              </w:rPr>
            </w:pPr>
          </w:p>
        </w:tc>
      </w:tr>
      <w:tr w:rsidR="00BA5FFF" w:rsidRPr="00F17FC7" w:rsidTr="00DB31DA">
        <w:trPr>
          <w:trHeight w:val="300"/>
        </w:trPr>
        <w:tc>
          <w:tcPr>
            <w:tcW w:w="2998" w:type="dxa"/>
            <w:noWrap/>
            <w:hideMark/>
          </w:tcPr>
          <w:p w:rsidR="00BA5FFF" w:rsidRPr="00410D8B" w:rsidRDefault="00BA5FFF" w:rsidP="00DB31DA">
            <w:pPr>
              <w:rPr>
                <w:rFonts w:ascii="Calibri" w:eastAsia="Times New Roman" w:hAnsi="Calibri" w:cs="Calibri"/>
                <w:color w:val="000000"/>
                <w:lang w:eastAsia="en-GB"/>
              </w:rPr>
            </w:pPr>
            <w:r w:rsidRPr="00410D8B">
              <w:rPr>
                <w:rFonts w:ascii="Calibri" w:eastAsia="Times New Roman" w:hAnsi="Calibri" w:cs="Calibri"/>
                <w:color w:val="000000"/>
                <w:lang w:eastAsia="en-GB"/>
              </w:rPr>
              <w:t>Danny Hames</w:t>
            </w:r>
          </w:p>
        </w:tc>
        <w:tc>
          <w:tcPr>
            <w:tcW w:w="2512" w:type="dxa"/>
            <w:noWrap/>
            <w:hideMark/>
          </w:tcPr>
          <w:p w:rsidR="00BA5FFF" w:rsidRPr="00F17FC7" w:rsidRDefault="00BA5FFF" w:rsidP="00DB31DA">
            <w:pPr>
              <w:rPr>
                <w:rFonts w:ascii="Calibri" w:eastAsia="Times New Roman" w:hAnsi="Calibri" w:cs="Calibri"/>
                <w:color w:val="000000"/>
                <w:lang w:eastAsia="en-GB"/>
              </w:rPr>
            </w:pPr>
            <w:r w:rsidRPr="00F17FC7">
              <w:rPr>
                <w:rFonts w:ascii="Calibri" w:eastAsia="Times New Roman" w:hAnsi="Calibri" w:cs="Calibri"/>
                <w:color w:val="000000"/>
                <w:lang w:eastAsia="en-GB"/>
              </w:rPr>
              <w:t>NHS</w:t>
            </w:r>
          </w:p>
        </w:tc>
        <w:tc>
          <w:tcPr>
            <w:tcW w:w="1856" w:type="dxa"/>
            <w:noWrap/>
          </w:tcPr>
          <w:p w:rsidR="00BA5FFF" w:rsidRPr="00F17FC7" w:rsidRDefault="00BA5FFF" w:rsidP="00DB31DA">
            <w:pPr>
              <w:rPr>
                <w:rFonts w:ascii="Calibri" w:eastAsia="Times New Roman" w:hAnsi="Calibri" w:cs="Calibri"/>
                <w:color w:val="000000"/>
                <w:lang w:eastAsia="en-GB"/>
              </w:rPr>
            </w:pPr>
            <w:r>
              <w:rPr>
                <w:rFonts w:ascii="Calibri" w:eastAsia="Times New Roman" w:hAnsi="Calibri" w:cs="Calibri"/>
                <w:color w:val="000000"/>
                <w:lang w:eastAsia="en-GB"/>
              </w:rPr>
              <w:t>X</w:t>
            </w:r>
          </w:p>
        </w:tc>
        <w:tc>
          <w:tcPr>
            <w:tcW w:w="1701" w:type="dxa"/>
            <w:noWrap/>
            <w:hideMark/>
          </w:tcPr>
          <w:p w:rsidR="00BA5FFF" w:rsidRPr="00F17FC7" w:rsidRDefault="00BA5FFF" w:rsidP="00DB31DA">
            <w:pPr>
              <w:rPr>
                <w:rFonts w:ascii="Calibri" w:eastAsia="Times New Roman" w:hAnsi="Calibri" w:cs="Calibri"/>
                <w:color w:val="000000"/>
                <w:lang w:eastAsia="en-GB"/>
              </w:rPr>
            </w:pPr>
          </w:p>
        </w:tc>
      </w:tr>
      <w:tr w:rsidR="00BA5FFF" w:rsidRPr="00F17FC7" w:rsidTr="00DB31DA">
        <w:trPr>
          <w:trHeight w:val="298"/>
        </w:trPr>
        <w:tc>
          <w:tcPr>
            <w:tcW w:w="2998" w:type="dxa"/>
            <w:noWrap/>
          </w:tcPr>
          <w:p w:rsidR="00BA5FFF" w:rsidRPr="00F17FC7" w:rsidRDefault="00BA5FFF" w:rsidP="00DB31DA">
            <w:r w:rsidRPr="00410D8B">
              <w:t>Dr Evgenia Stefanopoulou</w:t>
            </w:r>
          </w:p>
        </w:tc>
        <w:tc>
          <w:tcPr>
            <w:tcW w:w="2512" w:type="dxa"/>
            <w:noWrap/>
          </w:tcPr>
          <w:p w:rsidR="00BA5FFF" w:rsidRPr="00F17FC7" w:rsidRDefault="00BA5FFF" w:rsidP="00DB31DA">
            <w:r>
              <w:t xml:space="preserve">Turning Point </w:t>
            </w:r>
          </w:p>
        </w:tc>
        <w:tc>
          <w:tcPr>
            <w:tcW w:w="1856" w:type="dxa"/>
            <w:noWrap/>
          </w:tcPr>
          <w:p w:rsidR="00BA5FFF" w:rsidRPr="00F17FC7" w:rsidRDefault="00BA5FFF" w:rsidP="00DB31DA">
            <w:r>
              <w:t>X</w:t>
            </w:r>
          </w:p>
        </w:tc>
        <w:tc>
          <w:tcPr>
            <w:tcW w:w="1701" w:type="dxa"/>
            <w:noWrap/>
            <w:hideMark/>
          </w:tcPr>
          <w:p w:rsidR="00BA5FFF" w:rsidRPr="00F17FC7" w:rsidRDefault="00BA5FFF" w:rsidP="00DB31DA"/>
        </w:tc>
      </w:tr>
      <w:tr w:rsidR="00BA5FFF" w:rsidRPr="00F17FC7" w:rsidTr="00DB31DA">
        <w:trPr>
          <w:trHeight w:val="298"/>
        </w:trPr>
        <w:tc>
          <w:tcPr>
            <w:tcW w:w="2998" w:type="dxa"/>
            <w:noWrap/>
          </w:tcPr>
          <w:p w:rsidR="00BA5FFF" w:rsidRPr="00F17FC7" w:rsidRDefault="00BA5FFF" w:rsidP="00DB31DA">
            <w:r>
              <w:t>Emma Ryan</w:t>
            </w:r>
          </w:p>
        </w:tc>
        <w:tc>
          <w:tcPr>
            <w:tcW w:w="2512" w:type="dxa"/>
            <w:noWrap/>
          </w:tcPr>
          <w:p w:rsidR="00BA5FFF" w:rsidRPr="00F17FC7" w:rsidRDefault="00BA5FFF" w:rsidP="00DB31DA">
            <w:r>
              <w:t>NHS</w:t>
            </w:r>
          </w:p>
        </w:tc>
        <w:tc>
          <w:tcPr>
            <w:tcW w:w="1856" w:type="dxa"/>
            <w:noWrap/>
          </w:tcPr>
          <w:p w:rsidR="00BA5FFF" w:rsidRPr="00F17FC7" w:rsidRDefault="00BA5FFF" w:rsidP="00DB31DA">
            <w:r>
              <w:t>X</w:t>
            </w:r>
          </w:p>
        </w:tc>
        <w:tc>
          <w:tcPr>
            <w:tcW w:w="1701" w:type="dxa"/>
            <w:noWrap/>
          </w:tcPr>
          <w:p w:rsidR="00BA5FFF" w:rsidRPr="00F17FC7" w:rsidRDefault="00BA5FFF" w:rsidP="00DB31DA"/>
        </w:tc>
      </w:tr>
      <w:tr w:rsidR="00BA5FFF" w:rsidRPr="00F17FC7" w:rsidTr="00DB31DA">
        <w:trPr>
          <w:trHeight w:val="300"/>
        </w:trPr>
        <w:tc>
          <w:tcPr>
            <w:tcW w:w="2998" w:type="dxa"/>
            <w:noWrap/>
            <w:hideMark/>
          </w:tcPr>
          <w:p w:rsidR="00BA5FFF" w:rsidRPr="00410D8B" w:rsidRDefault="00BA5FFF" w:rsidP="00DB31DA">
            <w:pPr>
              <w:rPr>
                <w:rFonts w:ascii="Calibri" w:eastAsia="Times New Roman" w:hAnsi="Calibri" w:cs="Calibri"/>
                <w:color w:val="000000"/>
                <w:lang w:eastAsia="en-GB"/>
              </w:rPr>
            </w:pPr>
            <w:r w:rsidRPr="00410D8B">
              <w:rPr>
                <w:rFonts w:ascii="Calibri" w:eastAsia="Times New Roman" w:hAnsi="Calibri" w:cs="Calibri"/>
                <w:color w:val="000000"/>
                <w:lang w:eastAsia="en-GB"/>
              </w:rPr>
              <w:t>Helen Garratt</w:t>
            </w:r>
          </w:p>
        </w:tc>
        <w:tc>
          <w:tcPr>
            <w:tcW w:w="2512" w:type="dxa"/>
            <w:noWrap/>
            <w:hideMark/>
          </w:tcPr>
          <w:p w:rsidR="00BA5FFF" w:rsidRPr="00F17FC7" w:rsidRDefault="00BA5FFF" w:rsidP="00DB31DA">
            <w:pPr>
              <w:rPr>
                <w:rFonts w:ascii="Calibri" w:eastAsia="Times New Roman" w:hAnsi="Calibri" w:cs="Calibri"/>
                <w:color w:val="000000"/>
                <w:lang w:eastAsia="en-GB"/>
              </w:rPr>
            </w:pPr>
            <w:r w:rsidRPr="00F17FC7">
              <w:rPr>
                <w:rFonts w:ascii="Calibri" w:eastAsia="Times New Roman" w:hAnsi="Calibri" w:cs="Calibri"/>
                <w:color w:val="000000"/>
                <w:lang w:eastAsia="en-GB"/>
              </w:rPr>
              <w:t>GamCare</w:t>
            </w:r>
          </w:p>
        </w:tc>
        <w:tc>
          <w:tcPr>
            <w:tcW w:w="1856" w:type="dxa"/>
            <w:noWrap/>
          </w:tcPr>
          <w:p w:rsidR="00BA5FFF" w:rsidRPr="00F17FC7" w:rsidRDefault="00BA5FFF" w:rsidP="00DB31DA">
            <w:pPr>
              <w:rPr>
                <w:rFonts w:ascii="Calibri" w:eastAsia="Times New Roman" w:hAnsi="Calibri" w:cs="Calibri"/>
                <w:color w:val="000000"/>
                <w:lang w:eastAsia="en-GB"/>
              </w:rPr>
            </w:pPr>
            <w:r>
              <w:rPr>
                <w:rFonts w:ascii="Calibri" w:eastAsia="Times New Roman" w:hAnsi="Calibri" w:cs="Calibri"/>
                <w:color w:val="000000"/>
                <w:lang w:eastAsia="en-GB"/>
              </w:rPr>
              <w:t>X</w:t>
            </w:r>
          </w:p>
        </w:tc>
        <w:tc>
          <w:tcPr>
            <w:tcW w:w="1701" w:type="dxa"/>
            <w:noWrap/>
            <w:hideMark/>
          </w:tcPr>
          <w:p w:rsidR="00BA5FFF" w:rsidRPr="00F17FC7" w:rsidRDefault="00BA5FFF" w:rsidP="00DB31DA">
            <w:pPr>
              <w:rPr>
                <w:rFonts w:ascii="Calibri" w:eastAsia="Times New Roman" w:hAnsi="Calibri" w:cs="Calibri"/>
                <w:color w:val="000000"/>
                <w:lang w:eastAsia="en-GB"/>
              </w:rPr>
            </w:pPr>
          </w:p>
        </w:tc>
      </w:tr>
      <w:tr w:rsidR="00BA5FFF" w:rsidRPr="00F17FC7" w:rsidTr="00DB31DA">
        <w:trPr>
          <w:trHeight w:val="300"/>
        </w:trPr>
        <w:tc>
          <w:tcPr>
            <w:tcW w:w="2998" w:type="dxa"/>
            <w:noWrap/>
            <w:hideMark/>
          </w:tcPr>
          <w:p w:rsidR="00BA5FFF" w:rsidRPr="00410D8B" w:rsidRDefault="00BA5FFF" w:rsidP="00DB31DA">
            <w:pPr>
              <w:rPr>
                <w:rFonts w:ascii="Calibri" w:eastAsia="Times New Roman" w:hAnsi="Calibri" w:cs="Calibri"/>
                <w:color w:val="000000"/>
                <w:lang w:eastAsia="en-GB"/>
              </w:rPr>
            </w:pPr>
            <w:r w:rsidRPr="00410D8B">
              <w:rPr>
                <w:rFonts w:ascii="Calibri" w:eastAsia="Times New Roman" w:hAnsi="Calibri" w:cs="Calibri"/>
                <w:color w:val="000000"/>
                <w:lang w:eastAsia="en-GB"/>
              </w:rPr>
              <w:t xml:space="preserve">Katie Fry </w:t>
            </w:r>
          </w:p>
        </w:tc>
        <w:tc>
          <w:tcPr>
            <w:tcW w:w="2512" w:type="dxa"/>
            <w:noWrap/>
            <w:hideMark/>
          </w:tcPr>
          <w:p w:rsidR="00BA5FFF" w:rsidRPr="00F17FC7" w:rsidRDefault="00BA5FFF" w:rsidP="00DB31DA">
            <w:pPr>
              <w:rPr>
                <w:rFonts w:ascii="Calibri" w:eastAsia="Times New Roman" w:hAnsi="Calibri" w:cs="Calibri"/>
                <w:color w:val="000000"/>
                <w:lang w:eastAsia="en-GB"/>
              </w:rPr>
            </w:pPr>
            <w:r w:rsidRPr="00F17FC7">
              <w:rPr>
                <w:rFonts w:ascii="Calibri" w:eastAsia="Times New Roman" w:hAnsi="Calibri" w:cs="Calibri"/>
                <w:color w:val="000000"/>
                <w:lang w:eastAsia="en-GB"/>
              </w:rPr>
              <w:t>C</w:t>
            </w:r>
            <w:r>
              <w:rPr>
                <w:rFonts w:ascii="Calibri" w:eastAsia="Times New Roman" w:hAnsi="Calibri" w:cs="Calibri"/>
                <w:color w:val="000000"/>
                <w:lang w:eastAsia="en-GB"/>
              </w:rPr>
              <w:t xml:space="preserve">itizens </w:t>
            </w:r>
            <w:r w:rsidRPr="00F17FC7">
              <w:rPr>
                <w:rFonts w:ascii="Calibri" w:eastAsia="Times New Roman" w:hAnsi="Calibri" w:cs="Calibri"/>
                <w:color w:val="000000"/>
                <w:lang w:eastAsia="en-GB"/>
              </w:rPr>
              <w:t>A</w:t>
            </w:r>
            <w:r>
              <w:rPr>
                <w:rFonts w:ascii="Calibri" w:eastAsia="Times New Roman" w:hAnsi="Calibri" w:cs="Calibri"/>
                <w:color w:val="000000"/>
                <w:lang w:eastAsia="en-GB"/>
              </w:rPr>
              <w:t xml:space="preserve">dvice </w:t>
            </w:r>
            <w:r w:rsidRPr="00F17FC7">
              <w:rPr>
                <w:rFonts w:ascii="Calibri" w:eastAsia="Times New Roman" w:hAnsi="Calibri" w:cs="Calibri"/>
                <w:color w:val="000000"/>
                <w:lang w:eastAsia="en-GB"/>
              </w:rPr>
              <w:t>B</w:t>
            </w:r>
            <w:r>
              <w:rPr>
                <w:rFonts w:ascii="Calibri" w:eastAsia="Times New Roman" w:hAnsi="Calibri" w:cs="Calibri"/>
                <w:color w:val="000000"/>
                <w:lang w:eastAsia="en-GB"/>
              </w:rPr>
              <w:t>ureau</w:t>
            </w:r>
          </w:p>
        </w:tc>
        <w:tc>
          <w:tcPr>
            <w:tcW w:w="1856" w:type="dxa"/>
            <w:noWrap/>
          </w:tcPr>
          <w:p w:rsidR="00BA5FFF" w:rsidRPr="00F17FC7" w:rsidRDefault="00BA5FFF" w:rsidP="00DB31DA">
            <w:pPr>
              <w:rPr>
                <w:rFonts w:ascii="Calibri" w:eastAsia="Times New Roman" w:hAnsi="Calibri" w:cs="Calibri"/>
                <w:color w:val="000000"/>
                <w:lang w:eastAsia="en-GB"/>
              </w:rPr>
            </w:pPr>
            <w:r>
              <w:rPr>
                <w:rFonts w:ascii="Calibri" w:eastAsia="Times New Roman" w:hAnsi="Calibri" w:cs="Calibri"/>
                <w:color w:val="000000"/>
                <w:lang w:eastAsia="en-GB"/>
              </w:rPr>
              <w:t>X</w:t>
            </w:r>
          </w:p>
        </w:tc>
        <w:tc>
          <w:tcPr>
            <w:tcW w:w="1701" w:type="dxa"/>
            <w:noWrap/>
            <w:hideMark/>
          </w:tcPr>
          <w:p w:rsidR="00BA5FFF" w:rsidRPr="00F17FC7" w:rsidRDefault="00BA5FFF" w:rsidP="00DB31DA">
            <w:pPr>
              <w:rPr>
                <w:rFonts w:ascii="Calibri" w:eastAsia="Times New Roman" w:hAnsi="Calibri" w:cs="Calibri"/>
                <w:color w:val="000000"/>
                <w:lang w:eastAsia="en-GB"/>
              </w:rPr>
            </w:pPr>
          </w:p>
        </w:tc>
      </w:tr>
      <w:tr w:rsidR="00BA5FFF" w:rsidRPr="00F17FC7" w:rsidTr="00DB31DA">
        <w:trPr>
          <w:trHeight w:val="300"/>
        </w:trPr>
        <w:tc>
          <w:tcPr>
            <w:tcW w:w="2998" w:type="dxa"/>
            <w:noWrap/>
            <w:hideMark/>
          </w:tcPr>
          <w:p w:rsidR="00BA5FFF" w:rsidRPr="00410D8B" w:rsidRDefault="00BA5FFF" w:rsidP="00DB31DA">
            <w:pPr>
              <w:rPr>
                <w:rFonts w:ascii="Calibri" w:eastAsia="Times New Roman" w:hAnsi="Calibri" w:cs="Calibri"/>
                <w:color w:val="000000"/>
                <w:lang w:eastAsia="en-GB"/>
              </w:rPr>
            </w:pPr>
            <w:r w:rsidRPr="00410D8B">
              <w:rPr>
                <w:rFonts w:ascii="Calibri" w:eastAsia="Times New Roman" w:hAnsi="Calibri" w:cs="Calibri"/>
                <w:color w:val="000000"/>
                <w:lang w:eastAsia="en-GB"/>
              </w:rPr>
              <w:t xml:space="preserve">Kenny Imafidon </w:t>
            </w:r>
          </w:p>
        </w:tc>
        <w:tc>
          <w:tcPr>
            <w:tcW w:w="2512" w:type="dxa"/>
            <w:noWrap/>
            <w:hideMark/>
          </w:tcPr>
          <w:p w:rsidR="00BA5FFF" w:rsidRPr="00F17FC7" w:rsidRDefault="00BA5FFF" w:rsidP="00DB31DA">
            <w:pPr>
              <w:rPr>
                <w:rFonts w:ascii="Calibri" w:eastAsia="Times New Roman" w:hAnsi="Calibri" w:cs="Calibri"/>
                <w:color w:val="000000"/>
                <w:lang w:eastAsia="en-GB"/>
              </w:rPr>
            </w:pPr>
            <w:r>
              <w:rPr>
                <w:rFonts w:ascii="Calibri" w:eastAsia="Times New Roman" w:hAnsi="Calibri" w:cs="Calibri"/>
                <w:color w:val="000000"/>
                <w:lang w:eastAsia="en-GB"/>
              </w:rPr>
              <w:t>ClearView R</w:t>
            </w:r>
            <w:r w:rsidRPr="00F17FC7">
              <w:rPr>
                <w:rFonts w:ascii="Calibri" w:eastAsia="Times New Roman" w:hAnsi="Calibri" w:cs="Calibri"/>
                <w:color w:val="000000"/>
                <w:lang w:eastAsia="en-GB"/>
              </w:rPr>
              <w:t>esearch</w:t>
            </w:r>
          </w:p>
        </w:tc>
        <w:tc>
          <w:tcPr>
            <w:tcW w:w="1856" w:type="dxa"/>
            <w:noWrap/>
          </w:tcPr>
          <w:p w:rsidR="00BA5FFF" w:rsidRPr="00F17FC7" w:rsidRDefault="00BA5FFF" w:rsidP="00DB31DA">
            <w:pPr>
              <w:rPr>
                <w:rFonts w:ascii="Calibri" w:eastAsia="Times New Roman" w:hAnsi="Calibri" w:cs="Calibri"/>
                <w:color w:val="000000"/>
                <w:lang w:eastAsia="en-GB"/>
              </w:rPr>
            </w:pPr>
            <w:r>
              <w:rPr>
                <w:rFonts w:ascii="Calibri" w:eastAsia="Times New Roman" w:hAnsi="Calibri" w:cs="Calibri"/>
                <w:color w:val="000000"/>
                <w:lang w:eastAsia="en-GB"/>
              </w:rPr>
              <w:t>X</w:t>
            </w:r>
          </w:p>
        </w:tc>
        <w:tc>
          <w:tcPr>
            <w:tcW w:w="1701" w:type="dxa"/>
            <w:noWrap/>
            <w:hideMark/>
          </w:tcPr>
          <w:p w:rsidR="00BA5FFF" w:rsidRPr="00F17FC7" w:rsidRDefault="00BA5FFF" w:rsidP="00DB31DA">
            <w:pPr>
              <w:rPr>
                <w:rFonts w:ascii="Calibri" w:eastAsia="Times New Roman" w:hAnsi="Calibri" w:cs="Calibri"/>
                <w:color w:val="000000"/>
                <w:lang w:eastAsia="en-GB"/>
              </w:rPr>
            </w:pPr>
          </w:p>
        </w:tc>
      </w:tr>
      <w:tr w:rsidR="00BA5FFF" w:rsidRPr="00F17FC7" w:rsidTr="00DB31DA">
        <w:trPr>
          <w:trHeight w:val="300"/>
        </w:trPr>
        <w:tc>
          <w:tcPr>
            <w:tcW w:w="2998" w:type="dxa"/>
            <w:noWrap/>
            <w:hideMark/>
          </w:tcPr>
          <w:p w:rsidR="00BA5FFF" w:rsidRPr="00410D8B" w:rsidRDefault="00BA5FFF" w:rsidP="00DB31DA">
            <w:pPr>
              <w:rPr>
                <w:rFonts w:ascii="Calibri" w:eastAsia="Times New Roman" w:hAnsi="Calibri" w:cs="Calibri"/>
                <w:color w:val="000000"/>
                <w:lang w:eastAsia="en-GB"/>
              </w:rPr>
            </w:pPr>
            <w:r w:rsidRPr="00410D8B">
              <w:rPr>
                <w:rFonts w:ascii="Calibri" w:eastAsia="Times New Roman" w:hAnsi="Calibri" w:cs="Calibri"/>
                <w:color w:val="000000"/>
                <w:lang w:eastAsia="en-GB"/>
              </w:rPr>
              <w:t>Maeve Walsh</w:t>
            </w:r>
          </w:p>
        </w:tc>
        <w:tc>
          <w:tcPr>
            <w:tcW w:w="2512" w:type="dxa"/>
            <w:noWrap/>
            <w:hideMark/>
          </w:tcPr>
          <w:p w:rsidR="00BA5FFF" w:rsidRPr="00F17FC7" w:rsidRDefault="00BA5FFF" w:rsidP="00DB31DA">
            <w:pPr>
              <w:rPr>
                <w:rFonts w:ascii="Calibri" w:eastAsia="Times New Roman" w:hAnsi="Calibri" w:cs="Calibri"/>
                <w:color w:val="000000"/>
                <w:lang w:eastAsia="en-GB"/>
              </w:rPr>
            </w:pPr>
            <w:r w:rsidRPr="00F17FC7">
              <w:rPr>
                <w:rFonts w:ascii="Calibri" w:eastAsia="Times New Roman" w:hAnsi="Calibri" w:cs="Calibri"/>
                <w:color w:val="000000"/>
                <w:lang w:eastAsia="en-GB"/>
              </w:rPr>
              <w:t>Carnegie UK</w:t>
            </w:r>
            <w:r>
              <w:rPr>
                <w:rFonts w:ascii="Calibri" w:eastAsia="Times New Roman" w:hAnsi="Calibri" w:cs="Calibri"/>
                <w:color w:val="000000"/>
                <w:lang w:eastAsia="en-GB"/>
              </w:rPr>
              <w:t xml:space="preserve"> Trust</w:t>
            </w:r>
          </w:p>
        </w:tc>
        <w:tc>
          <w:tcPr>
            <w:tcW w:w="1856" w:type="dxa"/>
            <w:noWrap/>
          </w:tcPr>
          <w:p w:rsidR="00BA5FFF" w:rsidRPr="00F17FC7" w:rsidRDefault="00BA5FFF" w:rsidP="00DB31DA">
            <w:pPr>
              <w:rPr>
                <w:rFonts w:ascii="Calibri" w:eastAsia="Times New Roman" w:hAnsi="Calibri" w:cs="Calibri"/>
                <w:color w:val="000000"/>
                <w:lang w:eastAsia="en-GB"/>
              </w:rPr>
            </w:pPr>
            <w:r>
              <w:rPr>
                <w:rFonts w:ascii="Calibri" w:eastAsia="Times New Roman" w:hAnsi="Calibri" w:cs="Calibri"/>
                <w:color w:val="000000"/>
                <w:lang w:eastAsia="en-GB"/>
              </w:rPr>
              <w:t>X</w:t>
            </w:r>
          </w:p>
        </w:tc>
        <w:tc>
          <w:tcPr>
            <w:tcW w:w="1701" w:type="dxa"/>
            <w:noWrap/>
            <w:hideMark/>
          </w:tcPr>
          <w:p w:rsidR="00BA5FFF" w:rsidRPr="00F17FC7" w:rsidRDefault="00BA5FFF" w:rsidP="00DB31DA">
            <w:pPr>
              <w:rPr>
                <w:rFonts w:ascii="Calibri" w:eastAsia="Times New Roman" w:hAnsi="Calibri" w:cs="Calibri"/>
                <w:color w:val="000000"/>
                <w:lang w:eastAsia="en-GB"/>
              </w:rPr>
            </w:pPr>
          </w:p>
        </w:tc>
      </w:tr>
      <w:tr w:rsidR="00BA5FFF" w:rsidRPr="00F17FC7" w:rsidTr="00DB31DA">
        <w:trPr>
          <w:trHeight w:val="300"/>
        </w:trPr>
        <w:tc>
          <w:tcPr>
            <w:tcW w:w="2998" w:type="dxa"/>
            <w:noWrap/>
            <w:hideMark/>
          </w:tcPr>
          <w:p w:rsidR="00BA5FFF" w:rsidRPr="00410D8B" w:rsidRDefault="00BA5FFF" w:rsidP="00DB31DA">
            <w:pPr>
              <w:rPr>
                <w:rFonts w:ascii="Calibri" w:eastAsia="Times New Roman" w:hAnsi="Calibri" w:cs="Calibri"/>
                <w:color w:val="000000"/>
                <w:lang w:eastAsia="en-GB"/>
              </w:rPr>
            </w:pPr>
            <w:r w:rsidRPr="00410D8B">
              <w:rPr>
                <w:rFonts w:ascii="Calibri" w:eastAsia="Times New Roman" w:hAnsi="Calibri" w:cs="Calibri"/>
                <w:color w:val="000000"/>
                <w:lang w:eastAsia="en-GB"/>
              </w:rPr>
              <w:t>Matthew Birkinshaw</w:t>
            </w:r>
          </w:p>
        </w:tc>
        <w:tc>
          <w:tcPr>
            <w:tcW w:w="2512" w:type="dxa"/>
            <w:noWrap/>
            <w:hideMark/>
          </w:tcPr>
          <w:p w:rsidR="00BA5FFF" w:rsidRPr="00F17FC7" w:rsidRDefault="00BA5FFF" w:rsidP="00DB31DA">
            <w:pPr>
              <w:rPr>
                <w:rFonts w:ascii="Calibri" w:eastAsia="Times New Roman" w:hAnsi="Calibri" w:cs="Calibri"/>
                <w:color w:val="000000"/>
                <w:lang w:eastAsia="en-GB"/>
              </w:rPr>
            </w:pPr>
            <w:r w:rsidRPr="00F17FC7">
              <w:rPr>
                <w:rFonts w:ascii="Calibri" w:eastAsia="Times New Roman" w:hAnsi="Calibri" w:cs="Calibri"/>
                <w:color w:val="000000"/>
                <w:lang w:eastAsia="en-GB"/>
              </w:rPr>
              <w:t>DHSC</w:t>
            </w:r>
          </w:p>
        </w:tc>
        <w:tc>
          <w:tcPr>
            <w:tcW w:w="1856" w:type="dxa"/>
            <w:noWrap/>
          </w:tcPr>
          <w:p w:rsidR="00BA5FFF" w:rsidRPr="00F17FC7" w:rsidRDefault="00BA5FFF" w:rsidP="00DB31DA">
            <w:pPr>
              <w:rPr>
                <w:rFonts w:ascii="Calibri" w:eastAsia="Times New Roman" w:hAnsi="Calibri" w:cs="Calibri"/>
                <w:color w:val="000000"/>
                <w:lang w:eastAsia="en-GB"/>
              </w:rPr>
            </w:pPr>
          </w:p>
        </w:tc>
        <w:tc>
          <w:tcPr>
            <w:tcW w:w="1701" w:type="dxa"/>
            <w:noWrap/>
            <w:hideMark/>
          </w:tcPr>
          <w:p w:rsidR="00BA5FFF" w:rsidRPr="00F17FC7" w:rsidRDefault="00BA5FFF" w:rsidP="00DB31DA">
            <w:pPr>
              <w:rPr>
                <w:rFonts w:ascii="Calibri" w:eastAsia="Times New Roman" w:hAnsi="Calibri" w:cs="Calibri"/>
                <w:color w:val="000000"/>
                <w:lang w:eastAsia="en-GB"/>
              </w:rPr>
            </w:pPr>
            <w:r w:rsidRPr="00F17FC7">
              <w:rPr>
                <w:rFonts w:ascii="Calibri" w:eastAsia="Times New Roman" w:hAnsi="Calibri" w:cs="Calibri"/>
                <w:color w:val="000000"/>
                <w:lang w:eastAsia="en-GB"/>
              </w:rPr>
              <w:t>X</w:t>
            </w:r>
          </w:p>
        </w:tc>
      </w:tr>
      <w:tr w:rsidR="00BA5FFF" w:rsidRPr="00F17FC7" w:rsidTr="00DB31DA">
        <w:trPr>
          <w:trHeight w:val="300"/>
        </w:trPr>
        <w:tc>
          <w:tcPr>
            <w:tcW w:w="2998" w:type="dxa"/>
            <w:noWrap/>
            <w:hideMark/>
          </w:tcPr>
          <w:p w:rsidR="00BA5FFF" w:rsidRPr="00410D8B" w:rsidRDefault="00BA5FFF" w:rsidP="00DB31DA">
            <w:pPr>
              <w:rPr>
                <w:rFonts w:ascii="Calibri" w:eastAsia="Times New Roman" w:hAnsi="Calibri" w:cs="Calibri"/>
                <w:color w:val="000000"/>
                <w:lang w:eastAsia="en-GB"/>
              </w:rPr>
            </w:pPr>
            <w:r w:rsidRPr="00410D8B">
              <w:rPr>
                <w:rFonts w:ascii="Calibri" w:eastAsia="Times New Roman" w:hAnsi="Calibri" w:cs="Calibri"/>
                <w:color w:val="000000"/>
                <w:lang w:eastAsia="en-GB"/>
              </w:rPr>
              <w:t xml:space="preserve">Matthew Phillpot </w:t>
            </w:r>
          </w:p>
        </w:tc>
        <w:tc>
          <w:tcPr>
            <w:tcW w:w="2512" w:type="dxa"/>
            <w:noWrap/>
            <w:hideMark/>
          </w:tcPr>
          <w:p w:rsidR="00BA5FFF" w:rsidRPr="00F17FC7" w:rsidRDefault="00BA5FFF" w:rsidP="00DB31DA">
            <w:pPr>
              <w:rPr>
                <w:rFonts w:ascii="Calibri" w:eastAsia="Times New Roman" w:hAnsi="Calibri" w:cs="Calibri"/>
                <w:color w:val="000000"/>
                <w:lang w:eastAsia="en-GB"/>
              </w:rPr>
            </w:pPr>
            <w:r w:rsidRPr="00F17FC7">
              <w:rPr>
                <w:rFonts w:ascii="Calibri" w:eastAsia="Times New Roman" w:hAnsi="Calibri" w:cs="Calibri"/>
                <w:color w:val="000000"/>
                <w:lang w:eastAsia="en-GB"/>
              </w:rPr>
              <w:t xml:space="preserve">Healthy Stadia </w:t>
            </w:r>
          </w:p>
        </w:tc>
        <w:tc>
          <w:tcPr>
            <w:tcW w:w="1856" w:type="dxa"/>
            <w:noWrap/>
          </w:tcPr>
          <w:p w:rsidR="00BA5FFF" w:rsidRPr="00F17FC7" w:rsidRDefault="00BA5FFF" w:rsidP="00DB31DA">
            <w:pPr>
              <w:rPr>
                <w:rFonts w:ascii="Calibri" w:eastAsia="Times New Roman" w:hAnsi="Calibri" w:cs="Calibri"/>
                <w:color w:val="000000"/>
                <w:lang w:eastAsia="en-GB"/>
              </w:rPr>
            </w:pPr>
          </w:p>
        </w:tc>
        <w:tc>
          <w:tcPr>
            <w:tcW w:w="1701" w:type="dxa"/>
            <w:noWrap/>
            <w:hideMark/>
          </w:tcPr>
          <w:p w:rsidR="00BA5FFF" w:rsidRPr="00F17FC7" w:rsidRDefault="00BA5FFF" w:rsidP="00DB31DA">
            <w:pPr>
              <w:rPr>
                <w:rFonts w:ascii="Calibri" w:eastAsia="Times New Roman" w:hAnsi="Calibri" w:cs="Calibri"/>
                <w:color w:val="000000"/>
                <w:lang w:eastAsia="en-GB"/>
              </w:rPr>
            </w:pPr>
            <w:r w:rsidRPr="00F17FC7">
              <w:rPr>
                <w:rFonts w:ascii="Calibri" w:eastAsia="Times New Roman" w:hAnsi="Calibri" w:cs="Calibri"/>
                <w:color w:val="000000"/>
                <w:lang w:eastAsia="en-GB"/>
              </w:rPr>
              <w:t>X</w:t>
            </w:r>
          </w:p>
        </w:tc>
      </w:tr>
      <w:tr w:rsidR="00BA5FFF" w:rsidRPr="00F17FC7" w:rsidTr="00DB31DA">
        <w:trPr>
          <w:trHeight w:val="298"/>
        </w:trPr>
        <w:tc>
          <w:tcPr>
            <w:tcW w:w="2998" w:type="dxa"/>
            <w:noWrap/>
          </w:tcPr>
          <w:p w:rsidR="00BA5FFF" w:rsidRPr="00F17FC7" w:rsidRDefault="00BA5FFF" w:rsidP="00DB31DA">
            <w:r>
              <w:t xml:space="preserve">May </w:t>
            </w:r>
            <w:r w:rsidRPr="00F17FC7">
              <w:t>VanSchalkwyk</w:t>
            </w:r>
          </w:p>
        </w:tc>
        <w:tc>
          <w:tcPr>
            <w:tcW w:w="2512" w:type="dxa"/>
            <w:noWrap/>
          </w:tcPr>
          <w:p w:rsidR="00BA5FFF" w:rsidRPr="00F17FC7" w:rsidRDefault="00BA5FFF" w:rsidP="00DB31DA">
            <w:r>
              <w:t>LSHTM</w:t>
            </w:r>
          </w:p>
        </w:tc>
        <w:tc>
          <w:tcPr>
            <w:tcW w:w="1856" w:type="dxa"/>
            <w:noWrap/>
            <w:hideMark/>
          </w:tcPr>
          <w:p w:rsidR="00BA5FFF" w:rsidRPr="00F17FC7" w:rsidRDefault="00BA5FFF" w:rsidP="00DB31DA">
            <w:r>
              <w:t>X</w:t>
            </w:r>
          </w:p>
        </w:tc>
        <w:tc>
          <w:tcPr>
            <w:tcW w:w="1701" w:type="dxa"/>
            <w:noWrap/>
          </w:tcPr>
          <w:p w:rsidR="00BA5FFF" w:rsidRPr="00F17FC7" w:rsidRDefault="00BA5FFF" w:rsidP="00DB31DA"/>
        </w:tc>
      </w:tr>
      <w:tr w:rsidR="00BA5FFF" w:rsidRPr="00F17FC7" w:rsidTr="00DB31DA">
        <w:trPr>
          <w:trHeight w:val="300"/>
        </w:trPr>
        <w:tc>
          <w:tcPr>
            <w:tcW w:w="2998" w:type="dxa"/>
            <w:noWrap/>
            <w:hideMark/>
          </w:tcPr>
          <w:p w:rsidR="00BA5FFF" w:rsidRPr="00410D8B" w:rsidRDefault="00BA5FFF" w:rsidP="00DB31DA">
            <w:pPr>
              <w:rPr>
                <w:rFonts w:ascii="Calibri" w:eastAsia="Times New Roman" w:hAnsi="Calibri" w:cs="Calibri"/>
                <w:color w:val="000000"/>
                <w:lang w:eastAsia="en-GB"/>
              </w:rPr>
            </w:pPr>
            <w:r w:rsidRPr="00410D8B">
              <w:rPr>
                <w:rFonts w:ascii="Calibri" w:eastAsia="Times New Roman" w:hAnsi="Calibri" w:cs="Calibri"/>
                <w:color w:val="000000"/>
                <w:lang w:eastAsia="en-GB"/>
              </w:rPr>
              <w:t>Meagan Levin</w:t>
            </w:r>
          </w:p>
        </w:tc>
        <w:tc>
          <w:tcPr>
            <w:tcW w:w="2512" w:type="dxa"/>
            <w:noWrap/>
            <w:hideMark/>
          </w:tcPr>
          <w:p w:rsidR="00BA5FFF" w:rsidRPr="00F17FC7" w:rsidRDefault="00BA5FFF" w:rsidP="00DB31DA">
            <w:pPr>
              <w:rPr>
                <w:rFonts w:ascii="Calibri" w:eastAsia="Times New Roman" w:hAnsi="Calibri" w:cs="Calibri"/>
                <w:color w:val="000000"/>
                <w:lang w:eastAsia="en-GB"/>
              </w:rPr>
            </w:pPr>
            <w:r w:rsidRPr="00F17FC7">
              <w:rPr>
                <w:rFonts w:ascii="Calibri" w:eastAsia="Times New Roman" w:hAnsi="Calibri" w:cs="Calibri"/>
                <w:color w:val="000000"/>
                <w:lang w:eastAsia="en-GB"/>
              </w:rPr>
              <w:t>R</w:t>
            </w:r>
            <w:r>
              <w:rPr>
                <w:rFonts w:ascii="Calibri" w:eastAsia="Times New Roman" w:hAnsi="Calibri" w:cs="Calibri"/>
                <w:color w:val="000000"/>
                <w:lang w:eastAsia="en-GB"/>
              </w:rPr>
              <w:t xml:space="preserve">oyal </w:t>
            </w:r>
            <w:r w:rsidRPr="00F17FC7">
              <w:rPr>
                <w:rFonts w:ascii="Calibri" w:eastAsia="Times New Roman" w:hAnsi="Calibri" w:cs="Calibri"/>
                <w:color w:val="000000"/>
                <w:lang w:eastAsia="en-GB"/>
              </w:rPr>
              <w:t>B</w:t>
            </w:r>
            <w:r>
              <w:rPr>
                <w:rFonts w:ascii="Calibri" w:eastAsia="Times New Roman" w:hAnsi="Calibri" w:cs="Calibri"/>
                <w:color w:val="000000"/>
                <w:lang w:eastAsia="en-GB"/>
              </w:rPr>
              <w:t xml:space="preserve">ritish </w:t>
            </w:r>
            <w:r w:rsidRPr="00F17FC7">
              <w:rPr>
                <w:rFonts w:ascii="Calibri" w:eastAsia="Times New Roman" w:hAnsi="Calibri" w:cs="Calibri"/>
                <w:color w:val="000000"/>
                <w:lang w:eastAsia="en-GB"/>
              </w:rPr>
              <w:t>L</w:t>
            </w:r>
            <w:r>
              <w:rPr>
                <w:rFonts w:ascii="Calibri" w:eastAsia="Times New Roman" w:hAnsi="Calibri" w:cs="Calibri"/>
                <w:color w:val="000000"/>
                <w:lang w:eastAsia="en-GB"/>
              </w:rPr>
              <w:t>egion</w:t>
            </w:r>
          </w:p>
        </w:tc>
        <w:tc>
          <w:tcPr>
            <w:tcW w:w="1856" w:type="dxa"/>
            <w:noWrap/>
          </w:tcPr>
          <w:p w:rsidR="00BA5FFF" w:rsidRPr="00F17FC7" w:rsidRDefault="00BA5FFF" w:rsidP="00DB31DA">
            <w:pPr>
              <w:rPr>
                <w:rFonts w:ascii="Calibri" w:eastAsia="Times New Roman" w:hAnsi="Calibri" w:cs="Calibri"/>
                <w:color w:val="000000"/>
                <w:lang w:eastAsia="en-GB"/>
              </w:rPr>
            </w:pPr>
            <w:r>
              <w:rPr>
                <w:rFonts w:ascii="Calibri" w:eastAsia="Times New Roman" w:hAnsi="Calibri" w:cs="Calibri"/>
                <w:color w:val="000000"/>
                <w:lang w:eastAsia="en-GB"/>
              </w:rPr>
              <w:t>X</w:t>
            </w:r>
          </w:p>
        </w:tc>
        <w:tc>
          <w:tcPr>
            <w:tcW w:w="1701" w:type="dxa"/>
            <w:noWrap/>
            <w:hideMark/>
          </w:tcPr>
          <w:p w:rsidR="00BA5FFF" w:rsidRPr="00F17FC7" w:rsidRDefault="00BA5FFF" w:rsidP="00DB31DA">
            <w:pPr>
              <w:rPr>
                <w:rFonts w:ascii="Calibri" w:eastAsia="Times New Roman" w:hAnsi="Calibri" w:cs="Calibri"/>
                <w:color w:val="000000"/>
                <w:lang w:eastAsia="en-GB"/>
              </w:rPr>
            </w:pPr>
          </w:p>
        </w:tc>
      </w:tr>
      <w:tr w:rsidR="00BA5FFF" w:rsidRPr="00F17FC7" w:rsidTr="00DB31DA">
        <w:trPr>
          <w:trHeight w:val="300"/>
        </w:trPr>
        <w:tc>
          <w:tcPr>
            <w:tcW w:w="2998" w:type="dxa"/>
            <w:noWrap/>
            <w:hideMark/>
          </w:tcPr>
          <w:p w:rsidR="00BA5FFF" w:rsidRPr="00410D8B" w:rsidRDefault="00BA5FFF" w:rsidP="00DB31DA">
            <w:pPr>
              <w:rPr>
                <w:rFonts w:ascii="Calibri" w:eastAsia="Times New Roman" w:hAnsi="Calibri" w:cs="Calibri"/>
                <w:color w:val="000000"/>
                <w:lang w:eastAsia="en-GB"/>
              </w:rPr>
            </w:pPr>
            <w:r w:rsidRPr="00410D8B">
              <w:rPr>
                <w:rFonts w:ascii="Calibri" w:eastAsia="Times New Roman" w:hAnsi="Calibri" w:cs="Calibri"/>
                <w:color w:val="000000"/>
                <w:lang w:eastAsia="en-GB"/>
              </w:rPr>
              <w:t>Niamh McDade</w:t>
            </w:r>
          </w:p>
        </w:tc>
        <w:tc>
          <w:tcPr>
            <w:tcW w:w="2512" w:type="dxa"/>
            <w:noWrap/>
            <w:hideMark/>
          </w:tcPr>
          <w:p w:rsidR="00BA5FFF" w:rsidRPr="00F17FC7" w:rsidRDefault="00BA5FFF" w:rsidP="00DB31DA">
            <w:pPr>
              <w:rPr>
                <w:rFonts w:ascii="Calibri" w:eastAsia="Times New Roman" w:hAnsi="Calibri" w:cs="Calibri"/>
                <w:color w:val="000000"/>
                <w:lang w:eastAsia="en-GB"/>
              </w:rPr>
            </w:pPr>
            <w:r w:rsidRPr="00F17FC7">
              <w:rPr>
                <w:rFonts w:ascii="Calibri" w:eastAsia="Times New Roman" w:hAnsi="Calibri" w:cs="Calibri"/>
                <w:color w:val="000000"/>
                <w:lang w:eastAsia="en-GB"/>
              </w:rPr>
              <w:t>RSPH</w:t>
            </w:r>
          </w:p>
        </w:tc>
        <w:tc>
          <w:tcPr>
            <w:tcW w:w="1856" w:type="dxa"/>
            <w:noWrap/>
          </w:tcPr>
          <w:p w:rsidR="00BA5FFF" w:rsidRPr="00F17FC7" w:rsidRDefault="00BA5FFF" w:rsidP="00DB31DA">
            <w:pPr>
              <w:rPr>
                <w:rFonts w:ascii="Calibri" w:eastAsia="Times New Roman" w:hAnsi="Calibri" w:cs="Calibri"/>
                <w:color w:val="000000"/>
                <w:lang w:eastAsia="en-GB"/>
              </w:rPr>
            </w:pPr>
            <w:r>
              <w:rPr>
                <w:rFonts w:ascii="Calibri" w:eastAsia="Times New Roman" w:hAnsi="Calibri" w:cs="Calibri"/>
                <w:color w:val="000000"/>
                <w:lang w:eastAsia="en-GB"/>
              </w:rPr>
              <w:t>X</w:t>
            </w:r>
          </w:p>
        </w:tc>
        <w:tc>
          <w:tcPr>
            <w:tcW w:w="1701" w:type="dxa"/>
            <w:noWrap/>
            <w:hideMark/>
          </w:tcPr>
          <w:p w:rsidR="00BA5FFF" w:rsidRPr="00F17FC7" w:rsidRDefault="00BA5FFF" w:rsidP="00DB31DA">
            <w:pPr>
              <w:rPr>
                <w:rFonts w:ascii="Calibri" w:eastAsia="Times New Roman" w:hAnsi="Calibri" w:cs="Calibri"/>
                <w:color w:val="000000"/>
                <w:lang w:eastAsia="en-GB"/>
              </w:rPr>
            </w:pPr>
          </w:p>
        </w:tc>
      </w:tr>
      <w:tr w:rsidR="00BA5FFF" w:rsidRPr="00F17FC7" w:rsidTr="00DB31DA">
        <w:trPr>
          <w:trHeight w:val="300"/>
        </w:trPr>
        <w:tc>
          <w:tcPr>
            <w:tcW w:w="2998" w:type="dxa"/>
            <w:noWrap/>
            <w:hideMark/>
          </w:tcPr>
          <w:p w:rsidR="00BA5FFF" w:rsidRPr="00410D8B" w:rsidRDefault="00BA5FFF" w:rsidP="00DB31DA">
            <w:pPr>
              <w:rPr>
                <w:rFonts w:ascii="Calibri" w:eastAsia="Times New Roman" w:hAnsi="Calibri" w:cs="Calibri"/>
                <w:color w:val="000000"/>
                <w:lang w:eastAsia="en-GB"/>
              </w:rPr>
            </w:pPr>
            <w:r>
              <w:rPr>
                <w:rFonts w:ascii="Calibri" w:eastAsia="Times New Roman" w:hAnsi="Calibri" w:cs="Calibri"/>
                <w:color w:val="000000"/>
                <w:lang w:eastAsia="en-GB"/>
              </w:rPr>
              <w:t xml:space="preserve">Pete Wallace </w:t>
            </w:r>
          </w:p>
        </w:tc>
        <w:tc>
          <w:tcPr>
            <w:tcW w:w="2512" w:type="dxa"/>
            <w:noWrap/>
            <w:hideMark/>
          </w:tcPr>
          <w:p w:rsidR="00BA5FFF" w:rsidRPr="00F17FC7" w:rsidRDefault="00BA5FFF" w:rsidP="00DB31DA">
            <w:pPr>
              <w:rPr>
                <w:rFonts w:ascii="Calibri" w:eastAsia="Times New Roman" w:hAnsi="Calibri" w:cs="Calibri"/>
                <w:color w:val="000000"/>
                <w:lang w:eastAsia="en-GB"/>
              </w:rPr>
            </w:pPr>
            <w:r w:rsidRPr="00F17FC7">
              <w:rPr>
                <w:rFonts w:ascii="Calibri" w:eastAsia="Times New Roman" w:hAnsi="Calibri" w:cs="Calibri"/>
                <w:color w:val="000000"/>
                <w:lang w:eastAsia="en-GB"/>
              </w:rPr>
              <w:t xml:space="preserve">Epic </w:t>
            </w:r>
          </w:p>
        </w:tc>
        <w:tc>
          <w:tcPr>
            <w:tcW w:w="1856" w:type="dxa"/>
            <w:noWrap/>
          </w:tcPr>
          <w:p w:rsidR="00BA5FFF" w:rsidRPr="00F17FC7" w:rsidRDefault="00BA5FFF" w:rsidP="00DB31DA">
            <w:pPr>
              <w:rPr>
                <w:rFonts w:ascii="Calibri" w:eastAsia="Times New Roman" w:hAnsi="Calibri" w:cs="Calibri"/>
                <w:color w:val="000000"/>
                <w:lang w:eastAsia="en-GB"/>
              </w:rPr>
            </w:pPr>
          </w:p>
        </w:tc>
        <w:tc>
          <w:tcPr>
            <w:tcW w:w="1701" w:type="dxa"/>
            <w:noWrap/>
            <w:hideMark/>
          </w:tcPr>
          <w:p w:rsidR="00BA5FFF" w:rsidRPr="00F17FC7" w:rsidRDefault="00BA5FFF" w:rsidP="00DB31DA">
            <w:pPr>
              <w:rPr>
                <w:rFonts w:ascii="Calibri" w:eastAsia="Times New Roman" w:hAnsi="Calibri" w:cs="Calibri"/>
                <w:color w:val="000000"/>
                <w:lang w:eastAsia="en-GB"/>
              </w:rPr>
            </w:pPr>
          </w:p>
        </w:tc>
      </w:tr>
      <w:tr w:rsidR="00BA5FFF" w:rsidRPr="00F17FC7" w:rsidTr="00DB31DA">
        <w:trPr>
          <w:trHeight w:val="300"/>
        </w:trPr>
        <w:tc>
          <w:tcPr>
            <w:tcW w:w="2998" w:type="dxa"/>
            <w:noWrap/>
            <w:hideMark/>
          </w:tcPr>
          <w:p w:rsidR="00BA5FFF" w:rsidRPr="00410D8B" w:rsidRDefault="00BA5FFF" w:rsidP="00DB31DA">
            <w:pPr>
              <w:rPr>
                <w:rFonts w:ascii="Calibri" w:eastAsia="Times New Roman" w:hAnsi="Calibri" w:cs="Calibri"/>
                <w:color w:val="000000"/>
                <w:lang w:eastAsia="en-GB"/>
              </w:rPr>
            </w:pPr>
            <w:r w:rsidRPr="00410D8B">
              <w:rPr>
                <w:rFonts w:ascii="Calibri" w:eastAsia="Times New Roman" w:hAnsi="Calibri" w:cs="Calibri"/>
                <w:color w:val="000000"/>
                <w:lang w:eastAsia="en-GB"/>
              </w:rPr>
              <w:t>Peter Baker</w:t>
            </w:r>
          </w:p>
        </w:tc>
        <w:tc>
          <w:tcPr>
            <w:tcW w:w="2512" w:type="dxa"/>
            <w:noWrap/>
            <w:hideMark/>
          </w:tcPr>
          <w:p w:rsidR="00BA5FFF" w:rsidRPr="00F17FC7" w:rsidRDefault="00BA5FFF" w:rsidP="00DB31DA">
            <w:pPr>
              <w:rPr>
                <w:rFonts w:ascii="Calibri" w:eastAsia="Times New Roman" w:hAnsi="Calibri" w:cs="Calibri"/>
                <w:color w:val="000000"/>
                <w:lang w:eastAsia="en-GB"/>
              </w:rPr>
            </w:pPr>
            <w:r w:rsidRPr="00F17FC7">
              <w:rPr>
                <w:rFonts w:ascii="Calibri" w:eastAsia="Times New Roman" w:hAnsi="Calibri" w:cs="Calibri"/>
                <w:color w:val="000000"/>
                <w:lang w:eastAsia="en-GB"/>
              </w:rPr>
              <w:t>HPV Action Coalition</w:t>
            </w:r>
          </w:p>
        </w:tc>
        <w:tc>
          <w:tcPr>
            <w:tcW w:w="1856" w:type="dxa"/>
            <w:noWrap/>
          </w:tcPr>
          <w:p w:rsidR="00BA5FFF" w:rsidRPr="00F17FC7" w:rsidRDefault="00BA5FFF" w:rsidP="00DB31DA">
            <w:pPr>
              <w:rPr>
                <w:rFonts w:ascii="Calibri" w:eastAsia="Times New Roman" w:hAnsi="Calibri" w:cs="Calibri"/>
                <w:color w:val="000000"/>
                <w:lang w:eastAsia="en-GB"/>
              </w:rPr>
            </w:pPr>
            <w:r>
              <w:rPr>
                <w:rFonts w:ascii="Calibri" w:eastAsia="Times New Roman" w:hAnsi="Calibri" w:cs="Calibri"/>
                <w:color w:val="000000"/>
                <w:lang w:eastAsia="en-GB"/>
              </w:rPr>
              <w:t>X</w:t>
            </w:r>
          </w:p>
        </w:tc>
        <w:tc>
          <w:tcPr>
            <w:tcW w:w="1701" w:type="dxa"/>
            <w:noWrap/>
            <w:hideMark/>
          </w:tcPr>
          <w:p w:rsidR="00BA5FFF" w:rsidRPr="00F17FC7" w:rsidRDefault="00BA5FFF" w:rsidP="00DB31DA">
            <w:pPr>
              <w:rPr>
                <w:rFonts w:ascii="Calibri" w:eastAsia="Times New Roman" w:hAnsi="Calibri" w:cs="Calibri"/>
                <w:color w:val="000000"/>
                <w:lang w:eastAsia="en-GB"/>
              </w:rPr>
            </w:pPr>
          </w:p>
        </w:tc>
      </w:tr>
      <w:tr w:rsidR="00BA5FFF" w:rsidRPr="00F17FC7" w:rsidTr="00DB31DA">
        <w:trPr>
          <w:trHeight w:val="300"/>
        </w:trPr>
        <w:tc>
          <w:tcPr>
            <w:tcW w:w="2998" w:type="dxa"/>
            <w:noWrap/>
            <w:hideMark/>
          </w:tcPr>
          <w:p w:rsidR="00BA5FFF" w:rsidRPr="00410D8B" w:rsidRDefault="00BA5FFF" w:rsidP="00DB31DA">
            <w:pPr>
              <w:rPr>
                <w:rFonts w:ascii="Calibri" w:eastAsia="Times New Roman" w:hAnsi="Calibri" w:cs="Calibri"/>
                <w:color w:val="000000"/>
                <w:lang w:eastAsia="en-GB"/>
              </w:rPr>
            </w:pPr>
            <w:r w:rsidRPr="00410D8B">
              <w:rPr>
                <w:rFonts w:ascii="Calibri" w:eastAsia="Times New Roman" w:hAnsi="Calibri" w:cs="Calibri"/>
                <w:color w:val="000000"/>
                <w:lang w:eastAsia="en-GB"/>
              </w:rPr>
              <w:t>Robin Pollard</w:t>
            </w:r>
          </w:p>
        </w:tc>
        <w:tc>
          <w:tcPr>
            <w:tcW w:w="2512" w:type="dxa"/>
            <w:noWrap/>
            <w:hideMark/>
          </w:tcPr>
          <w:p w:rsidR="00BA5FFF" w:rsidRPr="00F17FC7" w:rsidRDefault="00BA5FFF" w:rsidP="00DB31DA">
            <w:pPr>
              <w:rPr>
                <w:rFonts w:ascii="Calibri" w:eastAsia="Times New Roman" w:hAnsi="Calibri" w:cs="Calibri"/>
                <w:color w:val="000000"/>
                <w:lang w:eastAsia="en-GB"/>
              </w:rPr>
            </w:pPr>
            <w:r w:rsidRPr="00F17FC7">
              <w:rPr>
                <w:rFonts w:ascii="Calibri" w:eastAsia="Times New Roman" w:hAnsi="Calibri" w:cs="Calibri"/>
                <w:color w:val="000000"/>
                <w:lang w:eastAsia="en-GB"/>
              </w:rPr>
              <w:t>Addaction</w:t>
            </w:r>
          </w:p>
        </w:tc>
        <w:tc>
          <w:tcPr>
            <w:tcW w:w="1856" w:type="dxa"/>
            <w:noWrap/>
          </w:tcPr>
          <w:p w:rsidR="00BA5FFF" w:rsidRPr="00F17FC7" w:rsidRDefault="00BA5FFF" w:rsidP="00DB31DA">
            <w:pPr>
              <w:rPr>
                <w:rFonts w:ascii="Calibri" w:eastAsia="Times New Roman" w:hAnsi="Calibri" w:cs="Calibri"/>
                <w:color w:val="000000"/>
                <w:lang w:eastAsia="en-GB"/>
              </w:rPr>
            </w:pPr>
            <w:r>
              <w:rPr>
                <w:rFonts w:ascii="Calibri" w:eastAsia="Times New Roman" w:hAnsi="Calibri" w:cs="Calibri"/>
                <w:color w:val="000000"/>
                <w:lang w:eastAsia="en-GB"/>
              </w:rPr>
              <w:t>X</w:t>
            </w:r>
          </w:p>
        </w:tc>
        <w:tc>
          <w:tcPr>
            <w:tcW w:w="1701" w:type="dxa"/>
            <w:noWrap/>
            <w:hideMark/>
          </w:tcPr>
          <w:p w:rsidR="00BA5FFF" w:rsidRPr="00F17FC7" w:rsidRDefault="00BA5FFF" w:rsidP="00DB31DA">
            <w:pPr>
              <w:rPr>
                <w:rFonts w:ascii="Calibri" w:eastAsia="Times New Roman" w:hAnsi="Calibri" w:cs="Calibri"/>
                <w:color w:val="000000"/>
                <w:lang w:eastAsia="en-GB"/>
              </w:rPr>
            </w:pPr>
          </w:p>
        </w:tc>
      </w:tr>
      <w:tr w:rsidR="00BA5FFF" w:rsidRPr="00F17FC7" w:rsidTr="00DB31DA">
        <w:trPr>
          <w:trHeight w:val="298"/>
        </w:trPr>
        <w:tc>
          <w:tcPr>
            <w:tcW w:w="2998" w:type="dxa"/>
            <w:noWrap/>
          </w:tcPr>
          <w:p w:rsidR="00BA5FFF" w:rsidRPr="00F17FC7" w:rsidRDefault="00BA5FFF" w:rsidP="00DB31DA">
            <w:r>
              <w:t xml:space="preserve">Sharon Fernandez </w:t>
            </w:r>
          </w:p>
        </w:tc>
        <w:tc>
          <w:tcPr>
            <w:tcW w:w="2512" w:type="dxa"/>
            <w:noWrap/>
          </w:tcPr>
          <w:p w:rsidR="00BA5FFF" w:rsidRPr="00F17FC7" w:rsidRDefault="00BA5FFF" w:rsidP="00DB31DA">
            <w:r>
              <w:t>NHS</w:t>
            </w:r>
          </w:p>
        </w:tc>
        <w:tc>
          <w:tcPr>
            <w:tcW w:w="1856" w:type="dxa"/>
            <w:noWrap/>
          </w:tcPr>
          <w:p w:rsidR="00BA5FFF" w:rsidRPr="00F17FC7" w:rsidRDefault="00BA5FFF" w:rsidP="00DB31DA"/>
        </w:tc>
        <w:tc>
          <w:tcPr>
            <w:tcW w:w="1701" w:type="dxa"/>
            <w:noWrap/>
            <w:hideMark/>
          </w:tcPr>
          <w:p w:rsidR="00BA5FFF" w:rsidRPr="00F17FC7" w:rsidRDefault="00BA5FFF" w:rsidP="00DB31DA"/>
        </w:tc>
      </w:tr>
      <w:tr w:rsidR="00BA5FFF" w:rsidRPr="00F17FC7" w:rsidTr="00DB31DA">
        <w:trPr>
          <w:trHeight w:val="300"/>
        </w:trPr>
        <w:tc>
          <w:tcPr>
            <w:tcW w:w="2998" w:type="dxa"/>
            <w:noWrap/>
            <w:hideMark/>
          </w:tcPr>
          <w:p w:rsidR="00BA5FFF" w:rsidRPr="00410D8B" w:rsidRDefault="00BA5FFF" w:rsidP="00DB31DA">
            <w:pPr>
              <w:rPr>
                <w:rFonts w:ascii="Calibri" w:eastAsia="Times New Roman" w:hAnsi="Calibri" w:cs="Calibri"/>
                <w:color w:val="000000"/>
                <w:lang w:eastAsia="en-GB"/>
              </w:rPr>
            </w:pPr>
            <w:r w:rsidRPr="00410D8B">
              <w:rPr>
                <w:rFonts w:ascii="Calibri" w:eastAsia="Times New Roman" w:hAnsi="Calibri" w:cs="Calibri"/>
                <w:color w:val="000000"/>
                <w:lang w:eastAsia="en-GB"/>
              </w:rPr>
              <w:t>Shirley Cramer (Chair)</w:t>
            </w:r>
          </w:p>
        </w:tc>
        <w:tc>
          <w:tcPr>
            <w:tcW w:w="2512" w:type="dxa"/>
            <w:noWrap/>
            <w:hideMark/>
          </w:tcPr>
          <w:p w:rsidR="00BA5FFF" w:rsidRPr="00F17FC7" w:rsidRDefault="00BA5FFF" w:rsidP="00DB31DA">
            <w:pPr>
              <w:rPr>
                <w:rFonts w:ascii="Calibri" w:eastAsia="Times New Roman" w:hAnsi="Calibri" w:cs="Calibri"/>
                <w:color w:val="000000"/>
                <w:lang w:eastAsia="en-GB"/>
              </w:rPr>
            </w:pPr>
            <w:r w:rsidRPr="00F17FC7">
              <w:rPr>
                <w:rFonts w:ascii="Calibri" w:eastAsia="Times New Roman" w:hAnsi="Calibri" w:cs="Calibri"/>
                <w:color w:val="000000"/>
                <w:lang w:eastAsia="en-GB"/>
              </w:rPr>
              <w:t>RSPH</w:t>
            </w:r>
          </w:p>
        </w:tc>
        <w:tc>
          <w:tcPr>
            <w:tcW w:w="1856" w:type="dxa"/>
            <w:noWrap/>
          </w:tcPr>
          <w:p w:rsidR="00BA5FFF" w:rsidRPr="00F17FC7" w:rsidRDefault="00BA5FFF" w:rsidP="00DB31DA">
            <w:pPr>
              <w:rPr>
                <w:rFonts w:ascii="Calibri" w:eastAsia="Times New Roman" w:hAnsi="Calibri" w:cs="Calibri"/>
                <w:color w:val="000000"/>
                <w:lang w:eastAsia="en-GB"/>
              </w:rPr>
            </w:pPr>
            <w:r>
              <w:rPr>
                <w:rFonts w:ascii="Calibri" w:eastAsia="Times New Roman" w:hAnsi="Calibri" w:cs="Calibri"/>
                <w:color w:val="000000"/>
                <w:lang w:eastAsia="en-GB"/>
              </w:rPr>
              <w:t>X</w:t>
            </w:r>
          </w:p>
        </w:tc>
        <w:tc>
          <w:tcPr>
            <w:tcW w:w="1701" w:type="dxa"/>
            <w:noWrap/>
            <w:hideMark/>
          </w:tcPr>
          <w:p w:rsidR="00BA5FFF" w:rsidRPr="00F17FC7" w:rsidRDefault="00BA5FFF" w:rsidP="00DB31DA">
            <w:pPr>
              <w:rPr>
                <w:rFonts w:ascii="Calibri" w:eastAsia="Times New Roman" w:hAnsi="Calibri" w:cs="Calibri"/>
                <w:color w:val="000000"/>
                <w:lang w:eastAsia="en-GB"/>
              </w:rPr>
            </w:pPr>
          </w:p>
        </w:tc>
      </w:tr>
      <w:tr w:rsidR="00BA5FFF" w:rsidRPr="00F17FC7" w:rsidTr="00DB31DA">
        <w:trPr>
          <w:trHeight w:val="300"/>
        </w:trPr>
        <w:tc>
          <w:tcPr>
            <w:tcW w:w="2998" w:type="dxa"/>
            <w:noWrap/>
            <w:hideMark/>
          </w:tcPr>
          <w:p w:rsidR="00BA5FFF" w:rsidRPr="00410D8B" w:rsidRDefault="00BA5FFF" w:rsidP="00DB31DA">
            <w:pPr>
              <w:rPr>
                <w:rFonts w:ascii="Calibri" w:eastAsia="Times New Roman" w:hAnsi="Calibri" w:cs="Calibri"/>
                <w:color w:val="000000"/>
                <w:lang w:eastAsia="en-GB"/>
              </w:rPr>
            </w:pPr>
            <w:r w:rsidRPr="00410D8B">
              <w:rPr>
                <w:rFonts w:ascii="Calibri" w:eastAsia="Times New Roman" w:hAnsi="Calibri" w:cs="Calibri"/>
                <w:color w:val="000000"/>
                <w:lang w:eastAsia="en-GB"/>
              </w:rPr>
              <w:t>Sophie Linington</w:t>
            </w:r>
          </w:p>
        </w:tc>
        <w:tc>
          <w:tcPr>
            <w:tcW w:w="2512" w:type="dxa"/>
            <w:noWrap/>
            <w:hideMark/>
          </w:tcPr>
          <w:p w:rsidR="00BA5FFF" w:rsidRPr="00F17FC7" w:rsidRDefault="00BA5FFF" w:rsidP="00DB31DA">
            <w:pPr>
              <w:rPr>
                <w:rFonts w:ascii="Calibri" w:eastAsia="Times New Roman" w:hAnsi="Calibri" w:cs="Calibri"/>
                <w:color w:val="000000"/>
                <w:lang w:eastAsia="en-GB"/>
              </w:rPr>
            </w:pPr>
            <w:r w:rsidRPr="00F17FC7">
              <w:rPr>
                <w:rFonts w:ascii="Calibri" w:eastAsia="Times New Roman" w:hAnsi="Calibri" w:cs="Calibri"/>
                <w:color w:val="000000"/>
                <w:lang w:eastAsia="en-GB"/>
              </w:rPr>
              <w:t>ParentZone</w:t>
            </w:r>
          </w:p>
        </w:tc>
        <w:tc>
          <w:tcPr>
            <w:tcW w:w="1856" w:type="dxa"/>
            <w:noWrap/>
          </w:tcPr>
          <w:p w:rsidR="00BA5FFF" w:rsidRPr="00F17FC7" w:rsidRDefault="00BA5FFF" w:rsidP="00DB31DA">
            <w:pPr>
              <w:rPr>
                <w:rFonts w:ascii="Calibri" w:eastAsia="Times New Roman" w:hAnsi="Calibri" w:cs="Calibri"/>
                <w:color w:val="000000"/>
                <w:lang w:eastAsia="en-GB"/>
              </w:rPr>
            </w:pPr>
            <w:r>
              <w:rPr>
                <w:rFonts w:ascii="Calibri" w:eastAsia="Times New Roman" w:hAnsi="Calibri" w:cs="Calibri"/>
                <w:color w:val="000000"/>
                <w:lang w:eastAsia="en-GB"/>
              </w:rPr>
              <w:t>X</w:t>
            </w:r>
          </w:p>
        </w:tc>
        <w:tc>
          <w:tcPr>
            <w:tcW w:w="1701" w:type="dxa"/>
            <w:noWrap/>
            <w:hideMark/>
          </w:tcPr>
          <w:p w:rsidR="00BA5FFF" w:rsidRPr="00F17FC7" w:rsidRDefault="00BA5FFF" w:rsidP="00DB31DA">
            <w:pPr>
              <w:rPr>
                <w:rFonts w:ascii="Calibri" w:eastAsia="Times New Roman" w:hAnsi="Calibri" w:cs="Calibri"/>
                <w:color w:val="000000"/>
                <w:lang w:eastAsia="en-GB"/>
              </w:rPr>
            </w:pPr>
          </w:p>
        </w:tc>
      </w:tr>
      <w:tr w:rsidR="00BA5FFF" w:rsidRPr="00F17FC7" w:rsidTr="00DB31DA">
        <w:trPr>
          <w:trHeight w:val="298"/>
        </w:trPr>
        <w:tc>
          <w:tcPr>
            <w:tcW w:w="2998" w:type="dxa"/>
            <w:noWrap/>
          </w:tcPr>
          <w:p w:rsidR="00BA5FFF" w:rsidRPr="00F17FC7" w:rsidRDefault="00BA5FFF" w:rsidP="00DB31DA">
            <w:r>
              <w:t>Victoria Sharman</w:t>
            </w:r>
          </w:p>
        </w:tc>
        <w:tc>
          <w:tcPr>
            <w:tcW w:w="2512" w:type="dxa"/>
            <w:noWrap/>
          </w:tcPr>
          <w:p w:rsidR="00BA5FFF" w:rsidRPr="00F17FC7" w:rsidRDefault="00BA5FFF" w:rsidP="00DB31DA">
            <w:r>
              <w:t>Royal College of Nursing</w:t>
            </w:r>
          </w:p>
        </w:tc>
        <w:tc>
          <w:tcPr>
            <w:tcW w:w="1856" w:type="dxa"/>
            <w:noWrap/>
          </w:tcPr>
          <w:p w:rsidR="00BA5FFF" w:rsidRPr="00F17FC7" w:rsidRDefault="00BA5FFF" w:rsidP="00DB31DA">
            <w:r>
              <w:t>X</w:t>
            </w:r>
          </w:p>
        </w:tc>
        <w:tc>
          <w:tcPr>
            <w:tcW w:w="1701" w:type="dxa"/>
            <w:noWrap/>
          </w:tcPr>
          <w:p w:rsidR="00BA5FFF" w:rsidRPr="00F17FC7" w:rsidRDefault="00BA5FFF" w:rsidP="00DB31DA"/>
        </w:tc>
      </w:tr>
    </w:tbl>
    <w:p w:rsidR="00BA5FFF" w:rsidRPr="004E14BD" w:rsidRDefault="00BA5FFF" w:rsidP="00BA5FFF">
      <w:pPr>
        <w:rPr>
          <w:b/>
        </w:rPr>
      </w:pPr>
    </w:p>
    <w:p w:rsidR="00BA5FFF" w:rsidRPr="004E14BD" w:rsidRDefault="00BA5FFF" w:rsidP="00BA5FFF">
      <w:pPr>
        <w:rPr>
          <w:b/>
        </w:rPr>
      </w:pPr>
      <w:r w:rsidRPr="004E14BD">
        <w:rPr>
          <w:b/>
        </w:rPr>
        <w:t xml:space="preserve">Apologies </w:t>
      </w:r>
    </w:p>
    <w:tbl>
      <w:tblPr>
        <w:tblStyle w:val="TableGrid"/>
        <w:tblW w:w="6614" w:type="dxa"/>
        <w:tblLook w:val="04A0" w:firstRow="1" w:lastRow="0" w:firstColumn="1" w:lastColumn="0" w:noHBand="0" w:noVBand="1"/>
      </w:tblPr>
      <w:tblGrid>
        <w:gridCol w:w="3599"/>
        <w:gridCol w:w="3015"/>
      </w:tblGrid>
      <w:tr w:rsidR="00BA5FFF" w:rsidRPr="00F17FC7" w:rsidTr="00DB31DA">
        <w:trPr>
          <w:trHeight w:val="150"/>
        </w:trPr>
        <w:tc>
          <w:tcPr>
            <w:tcW w:w="3599" w:type="dxa"/>
            <w:noWrap/>
          </w:tcPr>
          <w:p w:rsidR="00BA5FFF" w:rsidRDefault="00BA5FFF" w:rsidP="00DB31DA">
            <w:r>
              <w:t xml:space="preserve">Dean Johnstone </w:t>
            </w:r>
          </w:p>
        </w:tc>
        <w:tc>
          <w:tcPr>
            <w:tcW w:w="3015" w:type="dxa"/>
            <w:noWrap/>
          </w:tcPr>
          <w:p w:rsidR="00BA5FFF" w:rsidRDefault="00BA5FFF" w:rsidP="00DB31DA">
            <w:r>
              <w:t>Minds Ahead</w:t>
            </w:r>
          </w:p>
        </w:tc>
      </w:tr>
      <w:tr w:rsidR="00BA5FFF" w:rsidRPr="00F17FC7" w:rsidTr="00DB31DA">
        <w:trPr>
          <w:trHeight w:val="150"/>
        </w:trPr>
        <w:tc>
          <w:tcPr>
            <w:tcW w:w="3599" w:type="dxa"/>
            <w:noWrap/>
          </w:tcPr>
          <w:p w:rsidR="00BA5FFF" w:rsidRDefault="00BA5FFF" w:rsidP="00DB31DA">
            <w:r>
              <w:t xml:space="preserve">Heather Wardle </w:t>
            </w:r>
          </w:p>
        </w:tc>
        <w:tc>
          <w:tcPr>
            <w:tcW w:w="3015" w:type="dxa"/>
            <w:noWrap/>
          </w:tcPr>
          <w:p w:rsidR="00BA5FFF" w:rsidRDefault="00BA5FFF" w:rsidP="00DB31DA">
            <w:r>
              <w:t>LSHTM</w:t>
            </w:r>
          </w:p>
        </w:tc>
      </w:tr>
      <w:tr w:rsidR="00BA5FFF" w:rsidRPr="00F17FC7" w:rsidTr="00DB31DA">
        <w:trPr>
          <w:trHeight w:val="150"/>
        </w:trPr>
        <w:tc>
          <w:tcPr>
            <w:tcW w:w="3599" w:type="dxa"/>
            <w:noWrap/>
          </w:tcPr>
          <w:p w:rsidR="00BA5FFF" w:rsidRDefault="00BA5FFF" w:rsidP="00DB31DA">
            <w:r>
              <w:lastRenderedPageBreak/>
              <w:t>Iain Fraser</w:t>
            </w:r>
          </w:p>
        </w:tc>
        <w:tc>
          <w:tcPr>
            <w:tcW w:w="3015" w:type="dxa"/>
            <w:noWrap/>
          </w:tcPr>
          <w:p w:rsidR="00BA5FFF" w:rsidRDefault="00BA5FFF" w:rsidP="00DB31DA">
            <w:r>
              <w:t>Office of Ronnie Cowan MP</w:t>
            </w:r>
          </w:p>
        </w:tc>
      </w:tr>
      <w:tr w:rsidR="00BA5FFF" w:rsidRPr="00F17FC7" w:rsidTr="00DB31DA">
        <w:trPr>
          <w:trHeight w:val="150"/>
        </w:trPr>
        <w:tc>
          <w:tcPr>
            <w:tcW w:w="3599" w:type="dxa"/>
            <w:noWrap/>
          </w:tcPr>
          <w:p w:rsidR="00BA5FFF" w:rsidRPr="00410D8B" w:rsidRDefault="00BA5FFF" w:rsidP="00DB31DA">
            <w:pPr>
              <w:rPr>
                <w:rFonts w:ascii="Calibri" w:eastAsia="Times New Roman" w:hAnsi="Calibri" w:cs="Calibri"/>
                <w:color w:val="000000"/>
                <w:lang w:eastAsia="en-GB"/>
              </w:rPr>
            </w:pPr>
            <w:r w:rsidRPr="00410D8B">
              <w:rPr>
                <w:rFonts w:ascii="Calibri" w:eastAsia="Times New Roman" w:hAnsi="Calibri" w:cs="Calibri"/>
                <w:color w:val="000000"/>
                <w:lang w:eastAsia="en-GB"/>
              </w:rPr>
              <w:t>Jono Baggaly</w:t>
            </w:r>
          </w:p>
        </w:tc>
        <w:tc>
          <w:tcPr>
            <w:tcW w:w="3015" w:type="dxa"/>
            <w:noWrap/>
          </w:tcPr>
          <w:p w:rsidR="00BA5FFF" w:rsidRPr="00F17FC7" w:rsidRDefault="00BA5FFF" w:rsidP="00DB31DA">
            <w:pPr>
              <w:rPr>
                <w:rFonts w:ascii="Calibri" w:eastAsia="Times New Roman" w:hAnsi="Calibri" w:cs="Calibri"/>
                <w:color w:val="000000"/>
                <w:lang w:eastAsia="en-GB"/>
              </w:rPr>
            </w:pPr>
            <w:r w:rsidRPr="00F17FC7">
              <w:rPr>
                <w:rFonts w:ascii="Calibri" w:eastAsia="Times New Roman" w:hAnsi="Calibri" w:cs="Calibri"/>
                <w:color w:val="000000"/>
                <w:lang w:eastAsia="en-GB"/>
              </w:rPr>
              <w:t>PSHE Association</w:t>
            </w:r>
          </w:p>
        </w:tc>
      </w:tr>
      <w:tr w:rsidR="00BA5FFF" w:rsidRPr="00F17FC7" w:rsidTr="00DB31DA">
        <w:trPr>
          <w:trHeight w:val="150"/>
        </w:trPr>
        <w:tc>
          <w:tcPr>
            <w:tcW w:w="3599" w:type="dxa"/>
            <w:noWrap/>
          </w:tcPr>
          <w:p w:rsidR="00BA5FFF" w:rsidRDefault="00BA5FFF" w:rsidP="00DB31DA">
            <w:r>
              <w:t>Lee Willows</w:t>
            </w:r>
          </w:p>
        </w:tc>
        <w:tc>
          <w:tcPr>
            <w:tcW w:w="3015" w:type="dxa"/>
            <w:noWrap/>
          </w:tcPr>
          <w:p w:rsidR="00BA5FFF" w:rsidRDefault="00BA5FFF" w:rsidP="00DB31DA">
            <w:r>
              <w:t>YGAM</w:t>
            </w:r>
          </w:p>
        </w:tc>
      </w:tr>
      <w:tr w:rsidR="00BA5FFF" w:rsidRPr="00F17FC7" w:rsidTr="00DB31DA">
        <w:trPr>
          <w:trHeight w:val="150"/>
        </w:trPr>
        <w:tc>
          <w:tcPr>
            <w:tcW w:w="3599" w:type="dxa"/>
            <w:noWrap/>
          </w:tcPr>
          <w:p w:rsidR="00BA5FFF" w:rsidRDefault="00BA5FFF" w:rsidP="00DB31DA">
            <w:r>
              <w:t xml:space="preserve">Lee Willows </w:t>
            </w:r>
          </w:p>
        </w:tc>
        <w:tc>
          <w:tcPr>
            <w:tcW w:w="3015" w:type="dxa"/>
            <w:noWrap/>
          </w:tcPr>
          <w:p w:rsidR="00BA5FFF" w:rsidRDefault="00BA5FFF" w:rsidP="00DB31DA">
            <w:r>
              <w:t>YGAM</w:t>
            </w:r>
          </w:p>
        </w:tc>
      </w:tr>
      <w:tr w:rsidR="00BA5FFF" w:rsidRPr="00F17FC7" w:rsidTr="00DB31DA">
        <w:trPr>
          <w:trHeight w:val="150"/>
        </w:trPr>
        <w:tc>
          <w:tcPr>
            <w:tcW w:w="3599" w:type="dxa"/>
            <w:noWrap/>
          </w:tcPr>
          <w:p w:rsidR="00BA5FFF" w:rsidRDefault="00BA5FFF" w:rsidP="00DB31DA">
            <w:r>
              <w:t>Myrte Elbers</w:t>
            </w:r>
          </w:p>
        </w:tc>
        <w:tc>
          <w:tcPr>
            <w:tcW w:w="3015" w:type="dxa"/>
            <w:noWrap/>
          </w:tcPr>
          <w:p w:rsidR="00BA5FFF" w:rsidRDefault="00BA5FFF" w:rsidP="00DB31DA">
            <w:r>
              <w:t>Leeds City Council</w:t>
            </w:r>
          </w:p>
        </w:tc>
      </w:tr>
      <w:tr w:rsidR="00BA5FFF" w:rsidRPr="00F17FC7" w:rsidTr="00DB31DA">
        <w:trPr>
          <w:trHeight w:val="150"/>
        </w:trPr>
        <w:tc>
          <w:tcPr>
            <w:tcW w:w="3599" w:type="dxa"/>
            <w:noWrap/>
          </w:tcPr>
          <w:p w:rsidR="00BA5FFF" w:rsidRDefault="00BA5FFF" w:rsidP="00DB31DA">
            <w:r>
              <w:t>Simon Watts</w:t>
            </w:r>
          </w:p>
        </w:tc>
        <w:tc>
          <w:tcPr>
            <w:tcW w:w="3015" w:type="dxa"/>
            <w:noWrap/>
          </w:tcPr>
          <w:p w:rsidR="00BA5FFF" w:rsidRDefault="00BA5FFF" w:rsidP="00DB31DA">
            <w:r w:rsidRPr="005F3EC5">
              <w:t>Tameside Metropolitan Borough Council</w:t>
            </w:r>
          </w:p>
        </w:tc>
      </w:tr>
      <w:tr w:rsidR="00BA5FFF" w:rsidRPr="00F17FC7" w:rsidTr="00DB31DA">
        <w:trPr>
          <w:trHeight w:val="150"/>
        </w:trPr>
        <w:tc>
          <w:tcPr>
            <w:tcW w:w="3599" w:type="dxa"/>
            <w:noWrap/>
          </w:tcPr>
          <w:p w:rsidR="00BA5FFF" w:rsidRDefault="00BA5FFF" w:rsidP="00DB31DA">
            <w:r>
              <w:t>Victoria Taylor-Smith</w:t>
            </w:r>
          </w:p>
        </w:tc>
        <w:tc>
          <w:tcPr>
            <w:tcW w:w="3015" w:type="dxa"/>
            <w:noWrap/>
          </w:tcPr>
          <w:p w:rsidR="00BA5FFF" w:rsidRDefault="00BA5FFF" w:rsidP="00DB31DA">
            <w:r>
              <w:t>White Ribbon Association</w:t>
            </w:r>
          </w:p>
        </w:tc>
      </w:tr>
    </w:tbl>
    <w:p w:rsidR="00BA5FFF" w:rsidRDefault="00BA5FFF" w:rsidP="00BA5FFF"/>
    <w:p w:rsidR="00BA5FFF" w:rsidRPr="004E14BD" w:rsidRDefault="00BA5FFF" w:rsidP="00BA5FFF">
      <w:pPr>
        <w:pStyle w:val="PlainText"/>
        <w:numPr>
          <w:ilvl w:val="0"/>
          <w:numId w:val="1"/>
        </w:numPr>
        <w:rPr>
          <w:b/>
        </w:rPr>
      </w:pPr>
      <w:r w:rsidRPr="004E14BD">
        <w:rPr>
          <w:b/>
        </w:rPr>
        <w:t>Introduction from meeting Chair, Shirley Cramer, CBE, Chief Executive of the Royal Society for Public Health</w:t>
      </w:r>
    </w:p>
    <w:p w:rsidR="00BA5FFF" w:rsidRPr="004E14BD" w:rsidRDefault="00BA5FFF" w:rsidP="00BA5FFF">
      <w:pPr>
        <w:pStyle w:val="PlainText"/>
        <w:ind w:left="360"/>
        <w:rPr>
          <w:b/>
        </w:rPr>
      </w:pPr>
    </w:p>
    <w:p w:rsidR="00BA5FFF" w:rsidRDefault="00BA5FFF" w:rsidP="00BA5FFF">
      <w:pPr>
        <w:pStyle w:val="PlainText"/>
        <w:numPr>
          <w:ilvl w:val="0"/>
          <w:numId w:val="1"/>
        </w:numPr>
        <w:rPr>
          <w:b/>
        </w:rPr>
      </w:pPr>
      <w:r w:rsidRPr="004E14BD">
        <w:rPr>
          <w:b/>
        </w:rPr>
        <w:t>Round of introductions from attendees</w:t>
      </w:r>
    </w:p>
    <w:p w:rsidR="00BA5FFF" w:rsidRDefault="00BA5FFF" w:rsidP="00BA5FFF">
      <w:pPr>
        <w:pStyle w:val="ListParagraph"/>
        <w:rPr>
          <w:b/>
        </w:rPr>
      </w:pPr>
    </w:p>
    <w:p w:rsidR="00BA5FFF" w:rsidRDefault="00BA5FFF" w:rsidP="00BA5FFF">
      <w:pPr>
        <w:pStyle w:val="PlainText"/>
        <w:numPr>
          <w:ilvl w:val="0"/>
          <w:numId w:val="1"/>
        </w:numPr>
        <w:rPr>
          <w:b/>
        </w:rPr>
      </w:pPr>
      <w:r>
        <w:rPr>
          <w:b/>
        </w:rPr>
        <w:t>Re-cap: Objectives of the Gambling Health Alliance</w:t>
      </w:r>
    </w:p>
    <w:p w:rsidR="00BA5FFF" w:rsidRPr="00831168" w:rsidRDefault="00BA5FFF" w:rsidP="00BA5FFF">
      <w:pPr>
        <w:pStyle w:val="PlainText"/>
        <w:numPr>
          <w:ilvl w:val="0"/>
          <w:numId w:val="11"/>
        </w:numPr>
      </w:pPr>
      <w:r w:rsidRPr="00831168">
        <w:t>Work to ensure that the harms which arise from it are placed on an equal footing with other major public health challenges, focussing on prevention, early intervention, and increased community engagement</w:t>
      </w:r>
    </w:p>
    <w:p w:rsidR="00BA5FFF" w:rsidRPr="00831168" w:rsidRDefault="00BA5FFF" w:rsidP="00BA5FFF">
      <w:pPr>
        <w:pStyle w:val="PlainText"/>
      </w:pPr>
    </w:p>
    <w:p w:rsidR="00BA5FFF" w:rsidRPr="00831168" w:rsidRDefault="00BA5FFF" w:rsidP="00BA5FFF">
      <w:pPr>
        <w:pStyle w:val="PlainText"/>
        <w:numPr>
          <w:ilvl w:val="0"/>
          <w:numId w:val="11"/>
        </w:numPr>
      </w:pPr>
      <w:r w:rsidRPr="00831168">
        <w:t>Bring together a broad range of organisations and individuals with shared interest in reducing the damage caused to health and wellbeing from gambling</w:t>
      </w:r>
    </w:p>
    <w:p w:rsidR="00BA5FFF" w:rsidRPr="00831168" w:rsidRDefault="00BA5FFF" w:rsidP="00BA5FFF">
      <w:pPr>
        <w:pStyle w:val="PlainText"/>
      </w:pPr>
    </w:p>
    <w:p w:rsidR="00BA5FFF" w:rsidRPr="00831168" w:rsidRDefault="00BA5FFF" w:rsidP="00BA5FFF">
      <w:pPr>
        <w:pStyle w:val="PlainText"/>
        <w:numPr>
          <w:ilvl w:val="0"/>
          <w:numId w:val="11"/>
        </w:numPr>
      </w:pPr>
      <w:r w:rsidRPr="00831168">
        <w:t>Support policy-making and policy makers to address the social, economic and cultural factors that contribute to gambling harm and the inequalities in health caused by it</w:t>
      </w:r>
    </w:p>
    <w:p w:rsidR="00BA5FFF" w:rsidRPr="00831168" w:rsidRDefault="00BA5FFF" w:rsidP="00BA5FFF">
      <w:pPr>
        <w:pStyle w:val="PlainText"/>
      </w:pPr>
    </w:p>
    <w:p w:rsidR="00BA5FFF" w:rsidRPr="00831168" w:rsidRDefault="00BA5FFF" w:rsidP="00BA5FFF">
      <w:pPr>
        <w:pStyle w:val="PlainText"/>
        <w:numPr>
          <w:ilvl w:val="0"/>
          <w:numId w:val="11"/>
        </w:numPr>
      </w:pPr>
      <w:r w:rsidRPr="00831168">
        <w:t>Highlight gambling harms and their impact on wellbeing</w:t>
      </w:r>
    </w:p>
    <w:p w:rsidR="00BA5FFF" w:rsidRPr="00831168" w:rsidRDefault="00BA5FFF" w:rsidP="00BA5FFF">
      <w:pPr>
        <w:pStyle w:val="PlainText"/>
      </w:pPr>
    </w:p>
    <w:p w:rsidR="00BA5FFF" w:rsidRDefault="00BA5FFF" w:rsidP="00BA5FFF">
      <w:pPr>
        <w:pStyle w:val="PlainText"/>
        <w:numPr>
          <w:ilvl w:val="0"/>
          <w:numId w:val="11"/>
        </w:numPr>
      </w:pPr>
      <w:r w:rsidRPr="00831168">
        <w:t>Engage and inform policy makers, Government, NGOs and public health community in order to encourage a coherent and co-ordinated response to reducing gambling harms</w:t>
      </w:r>
    </w:p>
    <w:p w:rsidR="00BA5FFF" w:rsidRDefault="00BA5FFF" w:rsidP="00BA5FFF">
      <w:pPr>
        <w:pStyle w:val="ListParagraph"/>
      </w:pPr>
    </w:p>
    <w:p w:rsidR="00BA5FFF" w:rsidRPr="004E14BD" w:rsidRDefault="00BA5FFF" w:rsidP="00BA5FFF">
      <w:pPr>
        <w:pStyle w:val="ListParagraph"/>
        <w:numPr>
          <w:ilvl w:val="0"/>
          <w:numId w:val="1"/>
        </w:numPr>
        <w:rPr>
          <w:b/>
        </w:rPr>
      </w:pPr>
      <w:r w:rsidRPr="004E14BD">
        <w:rPr>
          <w:b/>
        </w:rPr>
        <w:t>Presentation from Aisling Ní Chonaire, Principal Advisor - Better Markets (Consumers and the Economy), the Behavioural Insights Team</w:t>
      </w:r>
    </w:p>
    <w:p w:rsidR="00BA5FFF" w:rsidRDefault="00BA5FFF" w:rsidP="00BA5FFF">
      <w:pPr>
        <w:pStyle w:val="ListParagraph"/>
        <w:ind w:left="360"/>
      </w:pPr>
    </w:p>
    <w:p w:rsidR="00BA5FFF" w:rsidRDefault="00BA5FFF" w:rsidP="00BA5FFF">
      <w:pPr>
        <w:pStyle w:val="ListParagraph"/>
        <w:ind w:left="360"/>
      </w:pPr>
      <w:r w:rsidRPr="00BA5FFF">
        <w:t>Presentation has been shared with group.</w:t>
      </w:r>
    </w:p>
    <w:p w:rsidR="00BA5FFF" w:rsidRPr="00A00013" w:rsidRDefault="00BA5FFF" w:rsidP="00BA5FFF">
      <w:pPr>
        <w:pStyle w:val="ListParagraph"/>
        <w:ind w:left="360"/>
      </w:pPr>
    </w:p>
    <w:p w:rsidR="00BA5FFF" w:rsidRPr="004E14BD" w:rsidRDefault="00BA5FFF" w:rsidP="00BA5FFF">
      <w:pPr>
        <w:pStyle w:val="ListParagraph"/>
        <w:numPr>
          <w:ilvl w:val="0"/>
          <w:numId w:val="1"/>
        </w:numPr>
        <w:rPr>
          <w:b/>
        </w:rPr>
      </w:pPr>
      <w:r w:rsidRPr="004E14BD">
        <w:rPr>
          <w:b/>
        </w:rPr>
        <w:t>Presentation from Aaron Mansfield, Royal Society for Public Health.</w:t>
      </w:r>
    </w:p>
    <w:p w:rsidR="00BA5FFF" w:rsidRDefault="00BA5FFF" w:rsidP="00BA5FFF">
      <w:pPr>
        <w:pStyle w:val="ListParagraph"/>
        <w:ind w:left="360"/>
      </w:pPr>
      <w:r w:rsidRPr="004E14BD">
        <w:rPr>
          <w:b/>
        </w:rPr>
        <w:br/>
      </w:r>
      <w:r w:rsidRPr="00BA5FFF">
        <w:t>Presentation has been shared with group.</w:t>
      </w:r>
    </w:p>
    <w:p w:rsidR="00BA5FFF" w:rsidRPr="00A00013" w:rsidRDefault="00BA5FFF" w:rsidP="00BA5FFF">
      <w:pPr>
        <w:pStyle w:val="ListParagraph"/>
        <w:ind w:left="360"/>
      </w:pPr>
    </w:p>
    <w:p w:rsidR="00BA5FFF" w:rsidRPr="004E14BD" w:rsidRDefault="00BA5FFF" w:rsidP="00BA5FFF">
      <w:pPr>
        <w:pStyle w:val="ListParagraph"/>
        <w:numPr>
          <w:ilvl w:val="0"/>
          <w:numId w:val="1"/>
        </w:numPr>
        <w:rPr>
          <w:b/>
        </w:rPr>
      </w:pPr>
      <w:r w:rsidRPr="004E14BD">
        <w:rPr>
          <w:b/>
        </w:rPr>
        <w:t>Update from Matthew Birkenshaw, Team Leader-Tobacco Control, Alcohol and Gambling Policy Lead, Department of Health and Social Care.</w:t>
      </w:r>
    </w:p>
    <w:p w:rsidR="00BA5FFF" w:rsidRPr="004E14BD" w:rsidRDefault="00BA5FFF" w:rsidP="00BA5FFF">
      <w:pPr>
        <w:pStyle w:val="ListParagraph"/>
        <w:ind w:left="360"/>
        <w:rPr>
          <w:b/>
        </w:rPr>
      </w:pPr>
    </w:p>
    <w:p w:rsidR="00BA5FFF" w:rsidRDefault="00BA5FFF" w:rsidP="00BA5FFF">
      <w:pPr>
        <w:pStyle w:val="ListParagraph"/>
        <w:ind w:left="360"/>
      </w:pPr>
      <w:r>
        <w:t>Matthew advised the group:</w:t>
      </w:r>
    </w:p>
    <w:p w:rsidR="00BA5FFF" w:rsidRDefault="00BA5FFF" w:rsidP="00BA5FFF">
      <w:pPr>
        <w:pStyle w:val="ListParagraph"/>
        <w:numPr>
          <w:ilvl w:val="0"/>
          <w:numId w:val="3"/>
        </w:numPr>
      </w:pPr>
      <w:r>
        <w:t>As part of the NHS Long Term Plan, they are working to implement 15 Gambling Treatment Clinics by 2023/24.</w:t>
      </w:r>
    </w:p>
    <w:p w:rsidR="00BA5FFF" w:rsidRDefault="00BA5FFF" w:rsidP="00BA5FFF">
      <w:pPr>
        <w:pStyle w:val="ListParagraph"/>
        <w:numPr>
          <w:ilvl w:val="0"/>
          <w:numId w:val="3"/>
        </w:numPr>
      </w:pPr>
      <w:r>
        <w:t>Government departments meet every two months to update on their work in relation to tackling gambling related harm.</w:t>
      </w:r>
    </w:p>
    <w:p w:rsidR="00BA5FFF" w:rsidRDefault="00BA5FFF" w:rsidP="00BA5FFF">
      <w:pPr>
        <w:pStyle w:val="ListParagraph"/>
        <w:numPr>
          <w:ilvl w:val="0"/>
          <w:numId w:val="3"/>
        </w:numPr>
      </w:pPr>
      <w:r>
        <w:t>The National Institute of Health Research (NIHR) has commissioned a research unit in Sheffield University to review the effectiveness of national and international polices and interventions to reduce gambling-related harms.</w:t>
      </w:r>
    </w:p>
    <w:p w:rsidR="00BA5FFF" w:rsidRDefault="00BA5FFF" w:rsidP="00BA5FFF">
      <w:pPr>
        <w:pStyle w:val="ListParagraph"/>
        <w:numPr>
          <w:ilvl w:val="0"/>
          <w:numId w:val="3"/>
        </w:numPr>
      </w:pPr>
      <w:r>
        <w:lastRenderedPageBreak/>
        <w:t>PHE are conducting a broader evidence review on the prevalence of gambling and associated health harms and their social and economic burden. This is expected to be published in May/June 2020.</w:t>
      </w:r>
    </w:p>
    <w:p w:rsidR="00BA5FFF" w:rsidRDefault="00BA5FFF" w:rsidP="00BA5FFF">
      <w:pPr>
        <w:pStyle w:val="ListParagraph"/>
      </w:pPr>
      <w:r>
        <w:t>The objectives of the review are:</w:t>
      </w:r>
    </w:p>
    <w:p w:rsidR="00BA5FFF" w:rsidRDefault="00BA5FFF" w:rsidP="00BA5FFF">
      <w:pPr>
        <w:pStyle w:val="ListParagraph"/>
        <w:numPr>
          <w:ilvl w:val="1"/>
          <w:numId w:val="2"/>
        </w:numPr>
      </w:pPr>
      <w:r>
        <w:t>To describe the prevalence of gambling and gambling-related harms in England by socio-demographic characteristics, geographical distribution and year.</w:t>
      </w:r>
    </w:p>
    <w:p w:rsidR="00BA5FFF" w:rsidRDefault="00BA5FFF" w:rsidP="00BA5FFF">
      <w:pPr>
        <w:pStyle w:val="ListParagraph"/>
        <w:numPr>
          <w:ilvl w:val="1"/>
          <w:numId w:val="2"/>
        </w:numPr>
      </w:pPr>
      <w:r>
        <w:t>To identify the determinants of gambling and harmful gambling.</w:t>
      </w:r>
    </w:p>
    <w:p w:rsidR="00BA5FFF" w:rsidRDefault="00BA5FFF" w:rsidP="00BA5FFF">
      <w:pPr>
        <w:pStyle w:val="ListParagraph"/>
        <w:numPr>
          <w:ilvl w:val="1"/>
          <w:numId w:val="2"/>
        </w:numPr>
      </w:pPr>
      <w:r>
        <w:t>To identify and describe the harms to individuals, families, communities, and wider societal harms associated with problematic and harmful gambling.</w:t>
      </w:r>
    </w:p>
    <w:p w:rsidR="00BA5FFF" w:rsidRDefault="00BA5FFF" w:rsidP="00BA5FFF">
      <w:pPr>
        <w:pStyle w:val="ListParagraph"/>
        <w:numPr>
          <w:ilvl w:val="1"/>
          <w:numId w:val="2"/>
        </w:numPr>
      </w:pPr>
      <w:r>
        <w:t>To examine the social and economic burden of gambling-related harms.</w:t>
      </w:r>
    </w:p>
    <w:p w:rsidR="00BA5FFF" w:rsidRDefault="00BA5FFF" w:rsidP="00BA5FFF">
      <w:pPr>
        <w:pStyle w:val="ListParagraph"/>
        <w:numPr>
          <w:ilvl w:val="1"/>
          <w:numId w:val="2"/>
        </w:numPr>
      </w:pPr>
      <w:r>
        <w:t>To gather stakeholder views on gambling-related harms in England.</w:t>
      </w:r>
    </w:p>
    <w:p w:rsidR="00BA5FFF" w:rsidRDefault="00BA5FFF" w:rsidP="00BA5FFF">
      <w:pPr>
        <w:pStyle w:val="ListParagraph"/>
        <w:ind w:left="360"/>
      </w:pPr>
      <w:r>
        <w:rPr>
          <w:noProof/>
          <w:lang w:eastAsia="en-GB"/>
        </w:rPr>
        <mc:AlternateContent>
          <mc:Choice Requires="wps">
            <w:drawing>
              <wp:anchor distT="45720" distB="45720" distL="114300" distR="114300" simplePos="0" relativeHeight="251659264" behindDoc="0" locked="0" layoutInCell="1" allowOverlap="1" wp14:anchorId="77FEBCFA" wp14:editId="02A4CC05">
                <wp:simplePos x="0" y="0"/>
                <wp:positionH relativeFrom="margin">
                  <wp:align>left</wp:align>
                </wp:positionH>
                <wp:positionV relativeFrom="paragraph">
                  <wp:posOffset>121313</wp:posOffset>
                </wp:positionV>
                <wp:extent cx="3589020" cy="811530"/>
                <wp:effectExtent l="0" t="0" r="114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811530"/>
                        </a:xfrm>
                        <a:prstGeom prst="rect">
                          <a:avLst/>
                        </a:prstGeom>
                        <a:solidFill>
                          <a:srgbClr val="FFFFFF"/>
                        </a:solidFill>
                        <a:ln w="9525">
                          <a:solidFill>
                            <a:srgbClr val="000000"/>
                          </a:solidFill>
                          <a:miter lim="800000"/>
                          <a:headEnd/>
                          <a:tailEnd/>
                        </a:ln>
                      </wps:spPr>
                      <wps:txbx>
                        <w:txbxContent>
                          <w:p w:rsidR="00BA5FFF" w:rsidRDefault="00BA5FFF" w:rsidP="00BA5FFF">
                            <w:r w:rsidRPr="00AF78CD">
                              <w:t>ACTION: GHA to continue engagement with DHSC via Matthew and share updates and evidence on gambling related harm with DHSC to support policy calls.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FEBCFA" id="_x0000_t202" coordsize="21600,21600" o:spt="202" path="m,l,21600r21600,l21600,xe">
                <v:stroke joinstyle="miter"/>
                <v:path gradientshapeok="t" o:connecttype="rect"/>
              </v:shapetype>
              <v:shape id="Text Box 2" o:spid="_x0000_s1026" type="#_x0000_t202" style="position:absolute;left:0;text-align:left;margin-left:0;margin-top:9.55pt;width:282.6pt;height:63.9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">
                <v:textbox>
                  <w:txbxContent>
                    <w:p w:rsidR="00BA5FFF" w:rsidRDefault="00BA5FFF" w:rsidP="00BA5FFF">
                      <w:r w:rsidRPr="00AF78CD">
                        <w:t>ACTION: GHA to continue engagement with DHSC via Matthew and share updates and evidence on gambling related harm with DHSC to support policy calls.</w:t>
                      </w:r>
                    </w:p>
                  </w:txbxContent>
                </v:textbox>
                <w10:wrap type="square" anchorx="margin"/>
              </v:shape>
            </w:pict>
          </mc:Fallback>
        </mc:AlternateContent>
      </w:r>
    </w:p>
    <w:p w:rsidR="00BA5FFF" w:rsidRDefault="00BA5FFF" w:rsidP="00BA5FFF">
      <w:pPr>
        <w:pStyle w:val="ListParagraph"/>
        <w:ind w:left="360"/>
      </w:pPr>
      <w:r w:rsidRPr="00AF78CD">
        <w:t xml:space="preserve"> </w:t>
      </w:r>
    </w:p>
    <w:p w:rsidR="00BA5FFF" w:rsidRDefault="00BA5FFF" w:rsidP="00BA5FFF">
      <w:pPr>
        <w:pStyle w:val="ListParagraph"/>
        <w:ind w:left="360"/>
      </w:pPr>
    </w:p>
    <w:p w:rsidR="00BA5FFF" w:rsidRDefault="00BA5FFF" w:rsidP="00BA5FFF">
      <w:pPr>
        <w:pStyle w:val="ListParagraph"/>
        <w:ind w:left="360"/>
      </w:pPr>
    </w:p>
    <w:p w:rsidR="00BA5FFF" w:rsidRPr="00AF78CD" w:rsidRDefault="00BA5FFF" w:rsidP="00BA5FFF">
      <w:pPr>
        <w:pStyle w:val="ListParagraph"/>
        <w:ind w:left="360"/>
      </w:pPr>
    </w:p>
    <w:p w:rsidR="00BA5FFF" w:rsidRPr="00A00013" w:rsidRDefault="00BA5FFF" w:rsidP="00BA5FFF">
      <w:pPr>
        <w:pStyle w:val="ListParagraph"/>
        <w:ind w:left="360"/>
      </w:pPr>
    </w:p>
    <w:p w:rsidR="00BA5FFF" w:rsidRPr="004E14BD" w:rsidRDefault="00BA5FFF" w:rsidP="00BA5FFF">
      <w:pPr>
        <w:pStyle w:val="ListParagraph"/>
        <w:numPr>
          <w:ilvl w:val="0"/>
          <w:numId w:val="1"/>
        </w:numPr>
        <w:rPr>
          <w:b/>
        </w:rPr>
      </w:pPr>
      <w:r w:rsidRPr="004E14BD">
        <w:rPr>
          <w:b/>
        </w:rPr>
        <w:t>Presentation from Andrew Taylor, Regulatory Policy Executive, Committee of Advertising Practice.</w:t>
      </w:r>
    </w:p>
    <w:p w:rsidR="00BA5FFF" w:rsidRDefault="00BA5FFF" w:rsidP="00BA5FFF">
      <w:r>
        <w:t>Presentation has been shared with group.</w:t>
      </w:r>
    </w:p>
    <w:p w:rsidR="00BA5FFF" w:rsidRPr="004E14BD" w:rsidRDefault="00BA5FFF" w:rsidP="00BA5FFF">
      <w:pPr>
        <w:pStyle w:val="ListParagraph"/>
        <w:numPr>
          <w:ilvl w:val="0"/>
          <w:numId w:val="1"/>
        </w:numPr>
        <w:rPr>
          <w:b/>
        </w:rPr>
      </w:pPr>
      <w:r w:rsidRPr="004E14BD">
        <w:rPr>
          <w:b/>
        </w:rPr>
        <w:t xml:space="preserve">Discussion of GHA work plan, strategy and priorities led by Shirley Cramer </w:t>
      </w:r>
    </w:p>
    <w:p w:rsidR="00BA5FFF" w:rsidRDefault="00BA5FFF" w:rsidP="00BA5FFF">
      <w:pPr>
        <w:pStyle w:val="ListParagraph"/>
        <w:numPr>
          <w:ilvl w:val="0"/>
          <w:numId w:val="4"/>
        </w:numPr>
      </w:pPr>
      <w:r>
        <w:t xml:space="preserve">Organisation of the GHA </w:t>
      </w:r>
    </w:p>
    <w:p w:rsidR="00BA5FFF" w:rsidRDefault="00BA5FFF" w:rsidP="00BA5FFF">
      <w:pPr>
        <w:pStyle w:val="ListParagraph"/>
        <w:numPr>
          <w:ilvl w:val="0"/>
          <w:numId w:val="12"/>
        </w:numPr>
      </w:pPr>
      <w:r>
        <w:t xml:space="preserve">Steering Group: The GHA </w:t>
      </w:r>
      <w:r w:rsidRPr="00CD3551">
        <w:t>steering group will be made up of experts who will oversee the work of the GHA to ensure that the interests of all GHA Members are represented.</w:t>
      </w:r>
      <w:r>
        <w:t xml:space="preserve"> </w:t>
      </w:r>
    </w:p>
    <w:p w:rsidR="00BA5FFF" w:rsidRPr="00CB7E1C" w:rsidRDefault="00BA5FFF" w:rsidP="00BA5FFF">
      <w:pPr>
        <w:pStyle w:val="ListParagraph"/>
        <w:numPr>
          <w:ilvl w:val="0"/>
          <w:numId w:val="12"/>
        </w:numPr>
      </w:pPr>
      <w:r>
        <w:t>Wor</w:t>
      </w:r>
      <w:r w:rsidRPr="00CB7E1C">
        <w:t xml:space="preserve">k Streams: The GHA will include </w:t>
      </w:r>
      <w:r w:rsidRPr="00CB7E1C">
        <w:rPr>
          <w:bCs/>
        </w:rPr>
        <w:t>three work-streams</w:t>
      </w:r>
      <w:r w:rsidRPr="00CB7E1C">
        <w:t xml:space="preserve">, made up of specialist representatives from member organisations and will deliver tactical activity on behalf of the alliance, including: </w:t>
      </w:r>
    </w:p>
    <w:p w:rsidR="00BA5FFF" w:rsidRPr="00CB7E1C" w:rsidRDefault="00BA5FFF" w:rsidP="00BA5FFF">
      <w:pPr>
        <w:pStyle w:val="ListParagraph"/>
        <w:numPr>
          <w:ilvl w:val="2"/>
          <w:numId w:val="13"/>
        </w:numPr>
      </w:pPr>
      <w:r w:rsidRPr="00CB7E1C">
        <w:rPr>
          <w:bCs/>
        </w:rPr>
        <w:t>Policy - s</w:t>
      </w:r>
      <w:r w:rsidRPr="00CB7E1C">
        <w:t xml:space="preserve">upporting the development of jointly agreed policy positions, consultation responses, reports and briefings. </w:t>
      </w:r>
    </w:p>
    <w:p w:rsidR="00BA5FFF" w:rsidRPr="00CB7E1C" w:rsidRDefault="00BA5FFF" w:rsidP="00BA5FFF">
      <w:pPr>
        <w:pStyle w:val="ListParagraph"/>
        <w:numPr>
          <w:ilvl w:val="2"/>
          <w:numId w:val="13"/>
        </w:numPr>
      </w:pPr>
      <w:r w:rsidRPr="00CB7E1C">
        <w:rPr>
          <w:bCs/>
        </w:rPr>
        <w:t>Public Affairs - m</w:t>
      </w:r>
      <w:r w:rsidRPr="00CB7E1C">
        <w:t>onitoring the activities of Parliament, Whitehall and other relevant bodies and organisations; raising the profile of the GHA; lobbying for policy change; public relations work and stakeholder engagement; providing strategic communications advice and general public affairs support.</w:t>
      </w:r>
    </w:p>
    <w:p w:rsidR="00BA5FFF" w:rsidRDefault="00BA5FFF" w:rsidP="00BA5FFF">
      <w:pPr>
        <w:pStyle w:val="ListParagraph"/>
        <w:numPr>
          <w:ilvl w:val="2"/>
          <w:numId w:val="13"/>
        </w:numPr>
      </w:pPr>
      <w:r w:rsidRPr="00CB7E1C">
        <w:rPr>
          <w:bCs/>
        </w:rPr>
        <w:t>Communications - s</w:t>
      </w:r>
      <w:r w:rsidRPr="00CB7E1C">
        <w:t>upporting internal and external communications of the GHA; speaking to media on behalf of the Alliance to media; reviewing press releases, supporting events and press conferences</w:t>
      </w:r>
    </w:p>
    <w:p w:rsidR="00BA5FFF" w:rsidRDefault="00BA5FFF" w:rsidP="00BA5FFF">
      <w:pPr>
        <w:rPr>
          <w:u w:val="single"/>
        </w:rPr>
      </w:pPr>
      <w:r>
        <w:rPr>
          <w:noProof/>
          <w:lang w:eastAsia="en-GB"/>
        </w:rPr>
        <mc:AlternateContent>
          <mc:Choice Requires="wps">
            <w:drawing>
              <wp:anchor distT="45720" distB="45720" distL="114300" distR="114300" simplePos="0" relativeHeight="251660288" behindDoc="0" locked="0" layoutInCell="1" allowOverlap="1" wp14:anchorId="07337F69" wp14:editId="5DAB9D56">
                <wp:simplePos x="0" y="0"/>
                <wp:positionH relativeFrom="margin">
                  <wp:align>left</wp:align>
                </wp:positionH>
                <wp:positionV relativeFrom="paragraph">
                  <wp:posOffset>8890</wp:posOffset>
                </wp:positionV>
                <wp:extent cx="3589020" cy="1446530"/>
                <wp:effectExtent l="0" t="0" r="11430" b="203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1446530"/>
                        </a:xfrm>
                        <a:prstGeom prst="rect">
                          <a:avLst/>
                        </a:prstGeom>
                        <a:solidFill>
                          <a:srgbClr val="FFFFFF"/>
                        </a:solidFill>
                        <a:ln w="9525">
                          <a:solidFill>
                            <a:srgbClr val="000000"/>
                          </a:solidFill>
                          <a:miter lim="800000"/>
                          <a:headEnd/>
                          <a:tailEnd/>
                        </a:ln>
                      </wps:spPr>
                      <wps:txbx>
                        <w:txbxContent>
                          <w:p w:rsidR="00BA5FFF" w:rsidRDefault="00BA5FFF" w:rsidP="00BA5FFF">
                            <w:r>
                              <w:t xml:space="preserve">ACTION: </w:t>
                            </w:r>
                          </w:p>
                          <w:p w:rsidR="00BA5FFF" w:rsidRDefault="00BA5FFF" w:rsidP="00BA5FFF">
                            <w:r w:rsidRPr="00AF78CD">
                              <w:t>All Members interested in forming part of the steering group and work streams shoul</w:t>
                            </w:r>
                            <w:r>
                              <w:t>d nominate themselves by following shared link</w:t>
                            </w:r>
                            <w:r w:rsidRPr="00AF78CD">
                              <w:t xml:space="preserve">. Members should complete this by COP 24 February 2020.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337F69" id="_x0000_s1027" type="#_x0000_t202" style="position:absolute;margin-left:0;margin-top:.7pt;width:282.6pt;height:113.9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">
                <v:textbox>
                  <w:txbxContent>
                    <w:p w:rsidR="00BA5FFF" w:rsidRDefault="00BA5FFF" w:rsidP="00BA5FFF">
                      <w:r>
                        <w:t xml:space="preserve">ACTION: </w:t>
                      </w:r>
                    </w:p>
                    <w:p w:rsidR="00BA5FFF" w:rsidRDefault="00BA5FFF" w:rsidP="00BA5FFF">
                      <w:r w:rsidRPr="00AF78CD">
                        <w:t>All Members interested in forming part of the steering group and work streams shoul</w:t>
                      </w:r>
                      <w:r>
                        <w:t>d nominate themselves by following shared link</w:t>
                      </w:r>
                      <w:r w:rsidRPr="00AF78CD">
                        <w:t xml:space="preserve">. Members should complete this by COP 24 February 2020. </w:t>
                      </w:r>
                      <w:bookmarkStart w:id="1" w:name="_GoBack"/>
                      <w:bookmarkEnd w:id="1"/>
                    </w:p>
                  </w:txbxContent>
                </v:textbox>
                <w10:wrap type="square" anchorx="margin"/>
              </v:shape>
            </w:pict>
          </mc:Fallback>
        </mc:AlternateContent>
      </w:r>
      <w:r w:rsidRPr="00AF78CD">
        <w:rPr>
          <w:u w:val="single"/>
        </w:rPr>
        <w:t xml:space="preserve"> </w:t>
      </w:r>
    </w:p>
    <w:p w:rsidR="00BA5FFF" w:rsidRDefault="00BA5FFF" w:rsidP="00BA5FFF">
      <w:pPr>
        <w:rPr>
          <w:u w:val="single"/>
        </w:rPr>
      </w:pPr>
    </w:p>
    <w:p w:rsidR="00BA5FFF" w:rsidRDefault="00BA5FFF" w:rsidP="00BA5FFF">
      <w:pPr>
        <w:rPr>
          <w:u w:val="single"/>
        </w:rPr>
      </w:pPr>
    </w:p>
    <w:p w:rsidR="00BA5FFF" w:rsidRDefault="00BA5FFF" w:rsidP="00BA5FFF">
      <w:pPr>
        <w:rPr>
          <w:u w:val="single"/>
        </w:rPr>
      </w:pPr>
    </w:p>
    <w:p w:rsidR="00BA5FFF" w:rsidRDefault="00BA5FFF" w:rsidP="00BA5FFF">
      <w:pPr>
        <w:rPr>
          <w:u w:val="single"/>
        </w:rPr>
      </w:pPr>
    </w:p>
    <w:p w:rsidR="00BA5FFF" w:rsidRDefault="00BA5FFF" w:rsidP="00BA5FFF">
      <w:pPr>
        <w:rPr>
          <w:u w:val="single"/>
        </w:rPr>
      </w:pPr>
    </w:p>
    <w:p w:rsidR="00BA5FFF" w:rsidRPr="00831168" w:rsidRDefault="00BA5FFF" w:rsidP="00BA5FFF">
      <w:pPr>
        <w:pStyle w:val="ListParagraph"/>
        <w:numPr>
          <w:ilvl w:val="0"/>
          <w:numId w:val="5"/>
        </w:numPr>
        <w:rPr>
          <w:b/>
        </w:rPr>
      </w:pPr>
      <w:r w:rsidRPr="00831168">
        <w:rPr>
          <w:b/>
        </w:rPr>
        <w:t>Update on results of Member Survey</w:t>
      </w:r>
    </w:p>
    <w:p w:rsidR="00BA5FFF" w:rsidRPr="00CB7E1C" w:rsidRDefault="00BA5FFF" w:rsidP="00BA5FFF">
      <w:r w:rsidRPr="00CB7E1C">
        <w:t xml:space="preserve">Based on responses to the Member, the topic of Online Gambling was voted as number one priority including: </w:t>
      </w:r>
    </w:p>
    <w:p w:rsidR="00BA5FFF" w:rsidRPr="00CB7E1C" w:rsidRDefault="00BA5FFF" w:rsidP="00BA5FFF">
      <w:pPr>
        <w:pStyle w:val="ListParagraph"/>
        <w:numPr>
          <w:ilvl w:val="0"/>
          <w:numId w:val="6"/>
        </w:numPr>
      </w:pPr>
      <w:r w:rsidRPr="00CB7E1C">
        <w:lastRenderedPageBreak/>
        <w:t>Online gambling and gaming; gaming and gamification of gambling; inconsistencies on legislation e.g. on loot boxes; in-app and in-game purchases; the role of the Online Harms White Paper in tackling gambling related harm.</w:t>
      </w:r>
    </w:p>
    <w:p w:rsidR="00BA5FFF" w:rsidRPr="00CB7E1C" w:rsidRDefault="00BA5FFF" w:rsidP="00BA5FFF">
      <w:r>
        <w:t>Other issues flagged for the GHA to consider:</w:t>
      </w:r>
      <w:r w:rsidRPr="00CB7E1C">
        <w:t xml:space="preserve">  </w:t>
      </w:r>
    </w:p>
    <w:p w:rsidR="00BA5FFF" w:rsidRPr="00CB7E1C" w:rsidRDefault="00BA5FFF" w:rsidP="00BA5FFF">
      <w:pPr>
        <w:pStyle w:val="ListParagraph"/>
        <w:numPr>
          <w:ilvl w:val="0"/>
          <w:numId w:val="7"/>
        </w:numPr>
      </w:pPr>
      <w:r w:rsidRPr="00CB7E1C">
        <w:t>The role of local authorities in tackling gambling related harm across England, Scotland and Wales</w:t>
      </w:r>
    </w:p>
    <w:p w:rsidR="00BA5FFF" w:rsidRPr="00CB7E1C" w:rsidRDefault="00BA5FFF" w:rsidP="00BA5FFF">
      <w:pPr>
        <w:pStyle w:val="ListParagraph"/>
        <w:numPr>
          <w:ilvl w:val="0"/>
          <w:numId w:val="7"/>
        </w:numPr>
      </w:pPr>
      <w:r w:rsidRPr="00CB7E1C">
        <w:t xml:space="preserve">Action to empower local communities to take charge of gambling </w:t>
      </w:r>
    </w:p>
    <w:p w:rsidR="00BA5FFF" w:rsidRDefault="00BA5FFF" w:rsidP="00BA5FFF">
      <w:pPr>
        <w:pStyle w:val="ListParagraph"/>
        <w:numPr>
          <w:ilvl w:val="0"/>
          <w:numId w:val="7"/>
        </w:numPr>
      </w:pPr>
      <w:r w:rsidRPr="00CB7E1C">
        <w:t>All gambling businesses are subject to the Proceeds of Crime Act (POCA) and have a responsibility to keep crime, including money-laundering, out of gambling. The GHA have been asked by Carolyn Harris MP to issue a Freedom of Information request to the Gambling Commission into the number of gambling companies that are self-referring known money laundering activity of clients.</w:t>
      </w:r>
    </w:p>
    <w:p w:rsidR="00BA5FFF" w:rsidRDefault="00BA5FFF" w:rsidP="00BA5FFF">
      <w:pPr>
        <w:pStyle w:val="ListParagraph"/>
      </w:pPr>
      <w:r>
        <w:rPr>
          <w:noProof/>
          <w:lang w:eastAsia="en-GB"/>
        </w:rPr>
        <mc:AlternateContent>
          <mc:Choice Requires="wps">
            <w:drawing>
              <wp:anchor distT="45720" distB="45720" distL="114300" distR="114300" simplePos="0" relativeHeight="251661312" behindDoc="0" locked="0" layoutInCell="1" allowOverlap="1" wp14:anchorId="1BBFD3F0" wp14:editId="2932515E">
                <wp:simplePos x="0" y="0"/>
                <wp:positionH relativeFrom="margin">
                  <wp:posOffset>-635</wp:posOffset>
                </wp:positionH>
                <wp:positionV relativeFrom="paragraph">
                  <wp:posOffset>187581</wp:posOffset>
                </wp:positionV>
                <wp:extent cx="5062855" cy="1849120"/>
                <wp:effectExtent l="0" t="0" r="23495" b="177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2855" cy="1849120"/>
                        </a:xfrm>
                        <a:prstGeom prst="rect">
                          <a:avLst/>
                        </a:prstGeom>
                        <a:solidFill>
                          <a:srgbClr val="FFFFFF"/>
                        </a:solidFill>
                        <a:ln w="9525">
                          <a:solidFill>
                            <a:srgbClr val="000000"/>
                          </a:solidFill>
                          <a:miter lim="800000"/>
                          <a:headEnd/>
                          <a:tailEnd/>
                        </a:ln>
                      </wps:spPr>
                      <wps:txbx>
                        <w:txbxContent>
                          <w:p w:rsidR="00BA5FFF" w:rsidRPr="00AF78CD" w:rsidRDefault="00BA5FFF" w:rsidP="00BA5FFF">
                            <w:r w:rsidRPr="00AF78CD">
                              <w:t xml:space="preserve">ACTION: </w:t>
                            </w:r>
                          </w:p>
                          <w:p w:rsidR="00BA5FFF" w:rsidRPr="00AF78CD" w:rsidRDefault="00BA5FFF" w:rsidP="00BA5FFF">
                            <w:r w:rsidRPr="00AF78CD">
                              <w:t xml:space="preserve">The group agreed that online gambling was to be taken forward as a priority issue for the group to consider. </w:t>
                            </w:r>
                          </w:p>
                          <w:p w:rsidR="00BA5FFF" w:rsidRPr="00AF78CD" w:rsidRDefault="00BA5FFF" w:rsidP="00BA5FFF">
                            <w:r w:rsidRPr="00AF78CD">
                              <w:t>GHA to engage more closely with the work of Local Government and ask representatives to join and present to the GHA.</w:t>
                            </w:r>
                          </w:p>
                          <w:p w:rsidR="00BA5FFF" w:rsidRPr="00AF78CD" w:rsidRDefault="00BA5FFF" w:rsidP="00BA5FFF">
                            <w:r w:rsidRPr="00AF78CD">
                              <w:t>GHA to issue FOI request to the Gambling Commission into the number of gambling companies that are self-referring known money laundering activity of clients. RSPH will coordinate this.</w:t>
                            </w:r>
                          </w:p>
                          <w:p w:rsidR="00BA5FFF" w:rsidRDefault="00BA5FFF" w:rsidP="00BA5FFF"/>
                          <w:p w:rsidR="00BA5FFF" w:rsidRDefault="00BA5FFF" w:rsidP="00BA5F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BFD3F0" id="_x0000_s1028" type="#_x0000_t202" style="position:absolute;left:0;text-align:left;margin-left:-.05pt;margin-top:14.75pt;width:398.65pt;height:145.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">
                <v:textbox>
                  <w:txbxContent>
                    <w:p w:rsidR="00BA5FFF" w:rsidRPr="00AF78CD" w:rsidRDefault="00BA5FFF" w:rsidP="00BA5FFF">
                      <w:r w:rsidRPr="00AF78CD">
                        <w:t xml:space="preserve">ACTION: </w:t>
                      </w:r>
                    </w:p>
                    <w:p w:rsidR="00BA5FFF" w:rsidRPr="00AF78CD" w:rsidRDefault="00BA5FFF" w:rsidP="00BA5FFF">
                      <w:r w:rsidRPr="00AF78CD">
                        <w:t xml:space="preserve">The group agreed that online gambling was to be taken forward as a priority issue for the group to consider. </w:t>
                      </w:r>
                    </w:p>
                    <w:p w:rsidR="00BA5FFF" w:rsidRPr="00AF78CD" w:rsidRDefault="00BA5FFF" w:rsidP="00BA5FFF">
                      <w:r w:rsidRPr="00AF78CD">
                        <w:t>GHA to engage more closely with the work of Local Government and ask representatives to join and present to the GHA.</w:t>
                      </w:r>
                    </w:p>
                    <w:p w:rsidR="00BA5FFF" w:rsidRPr="00AF78CD" w:rsidRDefault="00BA5FFF" w:rsidP="00BA5FFF">
                      <w:r w:rsidRPr="00AF78CD">
                        <w:t>GHA to issue FOI request to the Gambling Commission into the number of gambling companies that are self-referring known money laundering activity of clients. RSPH will coordinate this.</w:t>
                      </w:r>
                    </w:p>
                    <w:p w:rsidR="00BA5FFF" w:rsidRDefault="00BA5FFF" w:rsidP="00BA5FFF"/>
                    <w:p w:rsidR="00BA5FFF" w:rsidRDefault="00BA5FFF" w:rsidP="00BA5FFF"/>
                  </w:txbxContent>
                </v:textbox>
                <w10:wrap type="square" anchorx="margin"/>
              </v:shape>
            </w:pict>
          </mc:Fallback>
        </mc:AlternateContent>
      </w:r>
    </w:p>
    <w:p w:rsidR="00BA5FFF" w:rsidRDefault="00BA5FFF" w:rsidP="00BA5FFF"/>
    <w:p w:rsidR="00BA5FFF" w:rsidRDefault="00BA5FFF" w:rsidP="00BA5FFF"/>
    <w:p w:rsidR="00BA5FFF" w:rsidRDefault="00BA5FFF" w:rsidP="00BA5FFF"/>
    <w:p w:rsidR="00BA5FFF" w:rsidRDefault="00BA5FFF" w:rsidP="00BA5FFF"/>
    <w:p w:rsidR="00BA5FFF" w:rsidRDefault="00BA5FFF" w:rsidP="00BA5FFF"/>
    <w:p w:rsidR="00BA5FFF" w:rsidRDefault="00BA5FFF" w:rsidP="00BA5FFF"/>
    <w:p w:rsidR="00BA5FFF" w:rsidRPr="00AF78CD" w:rsidRDefault="00BA5FFF" w:rsidP="00BA5FFF">
      <w:pPr>
        <w:rPr>
          <w:b/>
        </w:rPr>
      </w:pPr>
    </w:p>
    <w:p w:rsidR="00BA5FFF" w:rsidRPr="00AF78CD" w:rsidRDefault="00BA5FFF" w:rsidP="00BA5FFF">
      <w:pPr>
        <w:pStyle w:val="ListParagraph"/>
        <w:numPr>
          <w:ilvl w:val="0"/>
          <w:numId w:val="8"/>
        </w:numPr>
        <w:rPr>
          <w:b/>
        </w:rPr>
      </w:pPr>
      <w:r w:rsidRPr="00AF78CD">
        <w:rPr>
          <w:b/>
        </w:rPr>
        <w:t>Brainstorm</w:t>
      </w:r>
    </w:p>
    <w:p w:rsidR="00BA5FFF" w:rsidRDefault="00BA5FFF" w:rsidP="00BA5FFF">
      <w:r>
        <w:t>GHA Members were asked to break-out into small groups and discuss how the GHA can meet its objectives to:</w:t>
      </w:r>
    </w:p>
    <w:p w:rsidR="00BA5FFF" w:rsidRPr="00B4036B" w:rsidRDefault="00BA5FFF" w:rsidP="00BA5FFF">
      <w:pPr>
        <w:pStyle w:val="ListParagraph"/>
        <w:numPr>
          <w:ilvl w:val="0"/>
          <w:numId w:val="10"/>
        </w:numPr>
      </w:pPr>
      <w:r w:rsidRPr="00B4036B">
        <w:t>Highlight gambling harms?</w:t>
      </w:r>
    </w:p>
    <w:p w:rsidR="00BA5FFF" w:rsidRPr="00B4036B" w:rsidRDefault="00BA5FFF" w:rsidP="00BA5FFF">
      <w:pPr>
        <w:pStyle w:val="ListParagraph"/>
        <w:numPr>
          <w:ilvl w:val="0"/>
          <w:numId w:val="10"/>
        </w:numPr>
      </w:pPr>
      <w:r w:rsidRPr="00B4036B">
        <w:t>Engage and inform policy makers, Government, NGOs and public health community in order to encourage a coherent and co-ordinated response to reducing gambling harms?</w:t>
      </w:r>
    </w:p>
    <w:p w:rsidR="00BA5FFF" w:rsidRPr="00B4036B" w:rsidRDefault="00BA5FFF" w:rsidP="00BA5FFF">
      <w:pPr>
        <w:pStyle w:val="ListParagraph"/>
        <w:numPr>
          <w:ilvl w:val="0"/>
          <w:numId w:val="10"/>
        </w:numPr>
      </w:pPr>
      <w:r w:rsidRPr="00831168">
        <w:rPr>
          <w:lang w:val="en-US"/>
        </w:rPr>
        <w:t>Promote evidence so it can be translated into practical steps?</w:t>
      </w:r>
    </w:p>
    <w:p w:rsidR="00BA5FFF" w:rsidRDefault="00BA5FFF" w:rsidP="00BA5FFF">
      <w:pPr>
        <w:pStyle w:val="ListParagraph"/>
        <w:numPr>
          <w:ilvl w:val="0"/>
          <w:numId w:val="10"/>
        </w:numPr>
      </w:pPr>
      <w:r w:rsidRPr="00B4036B">
        <w:t>Undertake periodic surveys and polling to inform GHA campaigns to increase awareness of the health harms from gambling?</w:t>
      </w:r>
    </w:p>
    <w:p w:rsidR="00BA5FFF" w:rsidRDefault="00BA5FFF" w:rsidP="00BA5FFF">
      <w:r>
        <w:t>Feedback:</w:t>
      </w:r>
    </w:p>
    <w:p w:rsidR="00BA5FFF" w:rsidRDefault="00BA5FFF" w:rsidP="00BA5FFF">
      <w:pPr>
        <w:pStyle w:val="ListParagraph"/>
        <w:numPr>
          <w:ilvl w:val="0"/>
          <w:numId w:val="9"/>
        </w:numPr>
      </w:pPr>
      <w:r>
        <w:t>Ensure that a range of events take place outside of Westminster. Suggestion to host events with English, Scottish and Welsh Mayors, as well as Metro and Regional Mayors, on tackling gambling related harm.</w:t>
      </w:r>
    </w:p>
    <w:p w:rsidR="00BA5FFF" w:rsidRDefault="00BA5FFF" w:rsidP="00BA5FFF">
      <w:pPr>
        <w:pStyle w:val="ListParagraph"/>
        <w:numPr>
          <w:ilvl w:val="0"/>
          <w:numId w:val="9"/>
        </w:numPr>
      </w:pPr>
      <w:r>
        <w:t>Engage with local authorities and the Local Government Association to understand their experiences and work in tackling gambling related harm</w:t>
      </w:r>
    </w:p>
    <w:p w:rsidR="00BA5FFF" w:rsidRDefault="00BA5FFF" w:rsidP="00BA5FFF">
      <w:pPr>
        <w:pStyle w:val="ListParagraph"/>
        <w:numPr>
          <w:ilvl w:val="0"/>
          <w:numId w:val="9"/>
        </w:numPr>
      </w:pPr>
      <w:r>
        <w:t>Ensure engagement with key stakeholders in devolved administrations, including the Chief Medical Officer for Wales and the Welsh Assembly Cross-Party Group on Problem Gambling.</w:t>
      </w:r>
    </w:p>
    <w:p w:rsidR="00BA5FFF" w:rsidRDefault="00BA5FFF" w:rsidP="00BA5FFF">
      <w:pPr>
        <w:pStyle w:val="ListParagraph"/>
        <w:numPr>
          <w:ilvl w:val="0"/>
          <w:numId w:val="9"/>
        </w:numPr>
      </w:pPr>
      <w:r>
        <w:t xml:space="preserve">Develop briefing pack for local government </w:t>
      </w:r>
    </w:p>
    <w:p w:rsidR="00BA5FFF" w:rsidRDefault="00BA5FFF" w:rsidP="00BA5FFF">
      <w:pPr>
        <w:pStyle w:val="ListParagraph"/>
        <w:numPr>
          <w:ilvl w:val="0"/>
          <w:numId w:val="9"/>
        </w:numPr>
      </w:pPr>
      <w:r>
        <w:t>Ensure we avoid a London focus and adequately represent Scotland and Wales. Hosting future meetings of the GHA across the country would support this.</w:t>
      </w:r>
    </w:p>
    <w:p w:rsidR="00BA5FFF" w:rsidRDefault="00BA5FFF" w:rsidP="00BA5FFF">
      <w:pPr>
        <w:pStyle w:val="ListParagraph"/>
        <w:numPr>
          <w:ilvl w:val="0"/>
          <w:numId w:val="9"/>
        </w:numPr>
      </w:pPr>
      <w:r>
        <w:t>Language used may be problematic. GHA website to be updated to refer to betting and gaming, as well as gambling.</w:t>
      </w:r>
    </w:p>
    <w:p w:rsidR="00BA5FFF" w:rsidRDefault="00BA5FFF" w:rsidP="00BA5FFF">
      <w:pPr>
        <w:pStyle w:val="ListParagraph"/>
        <w:numPr>
          <w:ilvl w:val="0"/>
          <w:numId w:val="9"/>
        </w:numPr>
      </w:pPr>
      <w:r>
        <w:lastRenderedPageBreak/>
        <w:t>Important to focus on 1-2 key issues and develop a clear strategy to inform policy. Agreement that the first issue the group will look at is online gambling, betting and gaming.</w:t>
      </w:r>
    </w:p>
    <w:p w:rsidR="00BA5FFF" w:rsidRDefault="00BA5FFF" w:rsidP="00BA5FFF">
      <w:pPr>
        <w:pStyle w:val="ListParagraph"/>
        <w:numPr>
          <w:ilvl w:val="0"/>
          <w:numId w:val="9"/>
        </w:numPr>
      </w:pPr>
      <w:r>
        <w:t xml:space="preserve">Explore how stakeholders across primary care can be empowered to support patients experiencing issues associated with disordered gambling. </w:t>
      </w:r>
    </w:p>
    <w:p w:rsidR="00BA5FFF" w:rsidRPr="004E14BD" w:rsidRDefault="00BA5FFF" w:rsidP="00BA5FFF">
      <w:pPr>
        <w:pStyle w:val="ListParagraph"/>
        <w:rPr>
          <w:b/>
        </w:rPr>
      </w:pPr>
    </w:p>
    <w:p w:rsidR="00BA5FFF" w:rsidRDefault="00BA5FFF" w:rsidP="00BA5FFF">
      <w:pPr>
        <w:rPr>
          <w:u w:val="single"/>
        </w:rPr>
      </w:pPr>
      <w:r>
        <w:rPr>
          <w:noProof/>
          <w:lang w:eastAsia="en-GB"/>
        </w:rPr>
        <mc:AlternateContent>
          <mc:Choice Requires="wps">
            <w:drawing>
              <wp:anchor distT="45720" distB="45720" distL="114300" distR="114300" simplePos="0" relativeHeight="251662336" behindDoc="0" locked="0" layoutInCell="1" allowOverlap="1" wp14:anchorId="0A6838F3" wp14:editId="5B5D85C9">
                <wp:simplePos x="0" y="0"/>
                <wp:positionH relativeFrom="margin">
                  <wp:posOffset>0</wp:posOffset>
                </wp:positionH>
                <wp:positionV relativeFrom="paragraph">
                  <wp:posOffset>332105</wp:posOffset>
                </wp:positionV>
                <wp:extent cx="5062855" cy="1849120"/>
                <wp:effectExtent l="0" t="0" r="23495" b="1778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2855" cy="1849120"/>
                        </a:xfrm>
                        <a:prstGeom prst="rect">
                          <a:avLst/>
                        </a:prstGeom>
                        <a:solidFill>
                          <a:srgbClr val="FFFFFF"/>
                        </a:solidFill>
                        <a:ln w="9525">
                          <a:solidFill>
                            <a:srgbClr val="000000"/>
                          </a:solidFill>
                          <a:miter lim="800000"/>
                          <a:headEnd/>
                          <a:tailEnd/>
                        </a:ln>
                      </wps:spPr>
                      <wps:txbx>
                        <w:txbxContent>
                          <w:p w:rsidR="00BA5FFF" w:rsidRPr="00AF78CD" w:rsidRDefault="00BA5FFF" w:rsidP="00BA5FFF">
                            <w:r w:rsidRPr="00AF78CD">
                              <w:t xml:space="preserve">ACTION: </w:t>
                            </w:r>
                          </w:p>
                          <w:p w:rsidR="00BA5FFF" w:rsidRPr="00AF78CD" w:rsidRDefault="00BA5FFF" w:rsidP="00BA5FFF">
                            <w:r w:rsidRPr="00AF78CD">
                              <w:t>RSPH to update list of GHA members on website.</w:t>
                            </w:r>
                          </w:p>
                          <w:p w:rsidR="00BA5FFF" w:rsidRPr="00AF78CD" w:rsidRDefault="00BA5FFF" w:rsidP="00BA5FFF">
                            <w:r w:rsidRPr="00AF78CD">
                              <w:t>RSPH to share presentations and actions from the meeting.</w:t>
                            </w:r>
                          </w:p>
                          <w:p w:rsidR="00BA5FFF" w:rsidRPr="00AF78CD" w:rsidRDefault="00BA5FFF" w:rsidP="00BA5FFF">
                            <w:r w:rsidRPr="00AF78CD">
                              <w:t xml:space="preserve">Members to share any names of organisations and individuals who could be involved with the Alliance with Niamh </w:t>
                            </w:r>
                            <w:hyperlink r:id="rId5" w:history="1">
                              <w:r w:rsidRPr="0004693F">
                                <w:rPr>
                                  <w:rStyle w:val="Hyperlink"/>
                                </w:rPr>
                                <w:t>nmcdade@rsph.org.uk</w:t>
                              </w:r>
                            </w:hyperlink>
                            <w:r w:rsidRPr="00AF78CD">
                              <w:t xml:space="preserve"> </w:t>
                            </w:r>
                          </w:p>
                          <w:p w:rsidR="00BA5FFF" w:rsidRPr="00AF78CD" w:rsidRDefault="00BA5FFF" w:rsidP="00BA5FFF">
                            <w:r w:rsidRPr="00AF78CD">
                              <w:t>RSPH to follow-up with work plan based on the feedback to the brainstorming session of the group.</w:t>
                            </w:r>
                          </w:p>
                          <w:p w:rsidR="00BA5FFF" w:rsidRDefault="00BA5FFF" w:rsidP="00BA5FFF"/>
                          <w:p w:rsidR="00BA5FFF" w:rsidRDefault="00BA5FFF" w:rsidP="00BA5F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838F3" id="_x0000_s1029" type="#_x0000_t202" style="position:absolute;margin-left:0;margin-top:26.15pt;width:398.65pt;height:145.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">
                <v:textbox>
                  <w:txbxContent>
                    <w:p w:rsidR="00BA5FFF" w:rsidRPr="00AF78CD" w:rsidRDefault="00BA5FFF" w:rsidP="00BA5FFF">
                      <w:r w:rsidRPr="00AF78CD">
                        <w:t xml:space="preserve">ACTION: </w:t>
                      </w:r>
                    </w:p>
                    <w:p w:rsidR="00BA5FFF" w:rsidRPr="00AF78CD" w:rsidRDefault="00BA5FFF" w:rsidP="00BA5FFF">
                      <w:r w:rsidRPr="00AF78CD">
                        <w:t>RSPH to update list of GHA members on website.</w:t>
                      </w:r>
                    </w:p>
                    <w:p w:rsidR="00BA5FFF" w:rsidRPr="00AF78CD" w:rsidRDefault="00BA5FFF" w:rsidP="00BA5FFF">
                      <w:r w:rsidRPr="00AF78CD">
                        <w:t>RSPH to share presentations and actions from the meeting.</w:t>
                      </w:r>
                    </w:p>
                    <w:p w:rsidR="00BA5FFF" w:rsidRPr="00AF78CD" w:rsidRDefault="00BA5FFF" w:rsidP="00BA5FFF">
                      <w:r w:rsidRPr="00AF78CD">
                        <w:t xml:space="preserve">Members to share any names of organisations and individuals who could be involved with the Alliance with Niamh </w:t>
                      </w:r>
                      <w:hyperlink r:id="rId6" w:history="1">
                        <w:r w:rsidRPr="0004693F">
                          <w:rPr>
                            <w:rStyle w:val="Hyperlink"/>
                          </w:rPr>
                          <w:t>nmcdade@rsph.org.uk</w:t>
                        </w:r>
                      </w:hyperlink>
                      <w:r w:rsidRPr="00AF78CD">
                        <w:t xml:space="preserve"> </w:t>
                      </w:r>
                    </w:p>
                    <w:p w:rsidR="00BA5FFF" w:rsidRPr="00AF78CD" w:rsidRDefault="00BA5FFF" w:rsidP="00BA5FFF">
                      <w:r w:rsidRPr="00AF78CD">
                        <w:t>RSPH to follow-up with work plan based on the feedback to the brainstorming session of the group.</w:t>
                      </w:r>
                    </w:p>
                    <w:p w:rsidR="00BA5FFF" w:rsidRDefault="00BA5FFF" w:rsidP="00BA5FFF"/>
                    <w:p w:rsidR="00BA5FFF" w:rsidRDefault="00BA5FFF" w:rsidP="00BA5FFF"/>
                  </w:txbxContent>
                </v:textbox>
                <w10:wrap type="square" anchorx="margin"/>
              </v:shape>
            </w:pict>
          </mc:Fallback>
        </mc:AlternateContent>
      </w:r>
    </w:p>
    <w:p w:rsidR="00BA5FFF" w:rsidRDefault="00BA5FFF" w:rsidP="00BA5FFF">
      <w:pPr>
        <w:rPr>
          <w:u w:val="single"/>
        </w:rPr>
      </w:pPr>
    </w:p>
    <w:p w:rsidR="00BA5FFF" w:rsidRDefault="00BA5FFF" w:rsidP="00BA5FFF">
      <w:pPr>
        <w:rPr>
          <w:u w:val="single"/>
        </w:rPr>
      </w:pPr>
    </w:p>
    <w:p w:rsidR="00BA5FFF" w:rsidRDefault="00BA5FFF" w:rsidP="00BA5FFF">
      <w:pPr>
        <w:rPr>
          <w:u w:val="single"/>
        </w:rPr>
      </w:pPr>
    </w:p>
    <w:p w:rsidR="00BA5FFF" w:rsidRDefault="00BA5FFF" w:rsidP="00BA5FFF">
      <w:pPr>
        <w:rPr>
          <w:u w:val="single"/>
        </w:rPr>
      </w:pPr>
    </w:p>
    <w:p w:rsidR="00BA5FFF" w:rsidRDefault="00BA5FFF" w:rsidP="00BA5FFF">
      <w:pPr>
        <w:rPr>
          <w:u w:val="single"/>
        </w:rPr>
      </w:pPr>
    </w:p>
    <w:p w:rsidR="00BA5FFF" w:rsidRDefault="00BA5FFF" w:rsidP="00BA5FFF">
      <w:pPr>
        <w:rPr>
          <w:u w:val="single"/>
        </w:rPr>
      </w:pPr>
    </w:p>
    <w:p w:rsidR="00BA5FFF" w:rsidRDefault="00BA5FFF" w:rsidP="00BA5FFF">
      <w:pPr>
        <w:rPr>
          <w:u w:val="single"/>
        </w:rPr>
      </w:pPr>
    </w:p>
    <w:p w:rsidR="00672FE5" w:rsidRDefault="007F7FFE"/>
    <w:sectPr w:rsidR="00672FE5" w:rsidSect="00B4036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5055B"/>
    <w:multiLevelType w:val="hybridMultilevel"/>
    <w:tmpl w:val="77A0B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C90BA1"/>
    <w:multiLevelType w:val="hybridMultilevel"/>
    <w:tmpl w:val="C39EF6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F8295A"/>
    <w:multiLevelType w:val="hybridMultilevel"/>
    <w:tmpl w:val="47DAFE20"/>
    <w:lvl w:ilvl="0" w:tplc="75F6D024">
      <w:start w:val="3"/>
      <w:numFmt w:val="bullet"/>
      <w:lvlText w:val="-"/>
      <w:lvlJc w:val="left"/>
      <w:pPr>
        <w:tabs>
          <w:tab w:val="num" w:pos="720"/>
        </w:tabs>
        <w:ind w:left="720" w:hanging="360"/>
      </w:pPr>
      <w:rPr>
        <w:rFonts w:ascii="Calibri" w:eastAsiaTheme="minorHAnsi" w:hAnsi="Calibri" w:cstheme="minorBidi" w:hint="default"/>
      </w:rPr>
    </w:lvl>
    <w:lvl w:ilvl="1" w:tplc="20A6E1E6" w:tentative="1">
      <w:start w:val="1"/>
      <w:numFmt w:val="decimal"/>
      <w:lvlText w:val="%2."/>
      <w:lvlJc w:val="left"/>
      <w:pPr>
        <w:tabs>
          <w:tab w:val="num" w:pos="1440"/>
        </w:tabs>
        <w:ind w:left="1440" w:hanging="360"/>
      </w:pPr>
    </w:lvl>
    <w:lvl w:ilvl="2" w:tplc="F74E1148" w:tentative="1">
      <w:start w:val="1"/>
      <w:numFmt w:val="decimal"/>
      <w:lvlText w:val="%3."/>
      <w:lvlJc w:val="left"/>
      <w:pPr>
        <w:tabs>
          <w:tab w:val="num" w:pos="2160"/>
        </w:tabs>
        <w:ind w:left="2160" w:hanging="360"/>
      </w:pPr>
    </w:lvl>
    <w:lvl w:ilvl="3" w:tplc="670E1752" w:tentative="1">
      <w:start w:val="1"/>
      <w:numFmt w:val="decimal"/>
      <w:lvlText w:val="%4."/>
      <w:lvlJc w:val="left"/>
      <w:pPr>
        <w:tabs>
          <w:tab w:val="num" w:pos="2880"/>
        </w:tabs>
        <w:ind w:left="2880" w:hanging="360"/>
      </w:pPr>
    </w:lvl>
    <w:lvl w:ilvl="4" w:tplc="F612CFAA" w:tentative="1">
      <w:start w:val="1"/>
      <w:numFmt w:val="decimal"/>
      <w:lvlText w:val="%5."/>
      <w:lvlJc w:val="left"/>
      <w:pPr>
        <w:tabs>
          <w:tab w:val="num" w:pos="3600"/>
        </w:tabs>
        <w:ind w:left="3600" w:hanging="360"/>
      </w:pPr>
    </w:lvl>
    <w:lvl w:ilvl="5" w:tplc="4608EC26" w:tentative="1">
      <w:start w:val="1"/>
      <w:numFmt w:val="decimal"/>
      <w:lvlText w:val="%6."/>
      <w:lvlJc w:val="left"/>
      <w:pPr>
        <w:tabs>
          <w:tab w:val="num" w:pos="4320"/>
        </w:tabs>
        <w:ind w:left="4320" w:hanging="360"/>
      </w:pPr>
    </w:lvl>
    <w:lvl w:ilvl="6" w:tplc="0BAE63EE" w:tentative="1">
      <w:start w:val="1"/>
      <w:numFmt w:val="decimal"/>
      <w:lvlText w:val="%7."/>
      <w:lvlJc w:val="left"/>
      <w:pPr>
        <w:tabs>
          <w:tab w:val="num" w:pos="5040"/>
        </w:tabs>
        <w:ind w:left="5040" w:hanging="360"/>
      </w:pPr>
    </w:lvl>
    <w:lvl w:ilvl="7" w:tplc="3ED28C58" w:tentative="1">
      <w:start w:val="1"/>
      <w:numFmt w:val="decimal"/>
      <w:lvlText w:val="%8."/>
      <w:lvlJc w:val="left"/>
      <w:pPr>
        <w:tabs>
          <w:tab w:val="num" w:pos="5760"/>
        </w:tabs>
        <w:ind w:left="5760" w:hanging="360"/>
      </w:pPr>
    </w:lvl>
    <w:lvl w:ilvl="8" w:tplc="9106F5E2" w:tentative="1">
      <w:start w:val="1"/>
      <w:numFmt w:val="decimal"/>
      <w:lvlText w:val="%9."/>
      <w:lvlJc w:val="left"/>
      <w:pPr>
        <w:tabs>
          <w:tab w:val="num" w:pos="6480"/>
        </w:tabs>
        <w:ind w:left="6480" w:hanging="360"/>
      </w:pPr>
    </w:lvl>
  </w:abstractNum>
  <w:abstractNum w:abstractNumId="3" w15:restartNumberingAfterBreak="0">
    <w:nsid w:val="2BB1560E"/>
    <w:multiLevelType w:val="hybridMultilevel"/>
    <w:tmpl w:val="3124A1FE"/>
    <w:lvl w:ilvl="0" w:tplc="75F6D024">
      <w:start w:val="3"/>
      <w:numFmt w:val="bullet"/>
      <w:lvlText w:val="-"/>
      <w:lvlJc w:val="left"/>
      <w:pPr>
        <w:tabs>
          <w:tab w:val="num" w:pos="720"/>
        </w:tabs>
        <w:ind w:left="720" w:hanging="360"/>
      </w:pPr>
      <w:rPr>
        <w:rFonts w:ascii="Calibri" w:eastAsiaTheme="minorHAnsi" w:hAnsi="Calibri" w:cstheme="minorBidi" w:hint="default"/>
      </w:rPr>
    </w:lvl>
    <w:lvl w:ilvl="1" w:tplc="418AB850" w:tentative="1">
      <w:start w:val="1"/>
      <w:numFmt w:val="bullet"/>
      <w:lvlText w:val="•"/>
      <w:lvlJc w:val="left"/>
      <w:pPr>
        <w:tabs>
          <w:tab w:val="num" w:pos="1440"/>
        </w:tabs>
        <w:ind w:left="1440" w:hanging="360"/>
      </w:pPr>
      <w:rPr>
        <w:rFonts w:ascii="Arial" w:hAnsi="Arial" w:hint="default"/>
      </w:rPr>
    </w:lvl>
    <w:lvl w:ilvl="2" w:tplc="712AB8A6" w:tentative="1">
      <w:start w:val="1"/>
      <w:numFmt w:val="bullet"/>
      <w:lvlText w:val="•"/>
      <w:lvlJc w:val="left"/>
      <w:pPr>
        <w:tabs>
          <w:tab w:val="num" w:pos="2160"/>
        </w:tabs>
        <w:ind w:left="2160" w:hanging="360"/>
      </w:pPr>
      <w:rPr>
        <w:rFonts w:ascii="Arial" w:hAnsi="Arial" w:hint="default"/>
      </w:rPr>
    </w:lvl>
    <w:lvl w:ilvl="3" w:tplc="49D27FA0" w:tentative="1">
      <w:start w:val="1"/>
      <w:numFmt w:val="bullet"/>
      <w:lvlText w:val="•"/>
      <w:lvlJc w:val="left"/>
      <w:pPr>
        <w:tabs>
          <w:tab w:val="num" w:pos="2880"/>
        </w:tabs>
        <w:ind w:left="2880" w:hanging="360"/>
      </w:pPr>
      <w:rPr>
        <w:rFonts w:ascii="Arial" w:hAnsi="Arial" w:hint="default"/>
      </w:rPr>
    </w:lvl>
    <w:lvl w:ilvl="4" w:tplc="9866F418" w:tentative="1">
      <w:start w:val="1"/>
      <w:numFmt w:val="bullet"/>
      <w:lvlText w:val="•"/>
      <w:lvlJc w:val="left"/>
      <w:pPr>
        <w:tabs>
          <w:tab w:val="num" w:pos="3600"/>
        </w:tabs>
        <w:ind w:left="3600" w:hanging="360"/>
      </w:pPr>
      <w:rPr>
        <w:rFonts w:ascii="Arial" w:hAnsi="Arial" w:hint="default"/>
      </w:rPr>
    </w:lvl>
    <w:lvl w:ilvl="5" w:tplc="04EC1FD4" w:tentative="1">
      <w:start w:val="1"/>
      <w:numFmt w:val="bullet"/>
      <w:lvlText w:val="•"/>
      <w:lvlJc w:val="left"/>
      <w:pPr>
        <w:tabs>
          <w:tab w:val="num" w:pos="4320"/>
        </w:tabs>
        <w:ind w:left="4320" w:hanging="360"/>
      </w:pPr>
      <w:rPr>
        <w:rFonts w:ascii="Arial" w:hAnsi="Arial" w:hint="default"/>
      </w:rPr>
    </w:lvl>
    <w:lvl w:ilvl="6" w:tplc="6CE4C582" w:tentative="1">
      <w:start w:val="1"/>
      <w:numFmt w:val="bullet"/>
      <w:lvlText w:val="•"/>
      <w:lvlJc w:val="left"/>
      <w:pPr>
        <w:tabs>
          <w:tab w:val="num" w:pos="5040"/>
        </w:tabs>
        <w:ind w:left="5040" w:hanging="360"/>
      </w:pPr>
      <w:rPr>
        <w:rFonts w:ascii="Arial" w:hAnsi="Arial" w:hint="default"/>
      </w:rPr>
    </w:lvl>
    <w:lvl w:ilvl="7" w:tplc="AC42F8AA" w:tentative="1">
      <w:start w:val="1"/>
      <w:numFmt w:val="bullet"/>
      <w:lvlText w:val="•"/>
      <w:lvlJc w:val="left"/>
      <w:pPr>
        <w:tabs>
          <w:tab w:val="num" w:pos="5760"/>
        </w:tabs>
        <w:ind w:left="5760" w:hanging="360"/>
      </w:pPr>
      <w:rPr>
        <w:rFonts w:ascii="Arial" w:hAnsi="Arial" w:hint="default"/>
      </w:rPr>
    </w:lvl>
    <w:lvl w:ilvl="8" w:tplc="447CD37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DA9559E"/>
    <w:multiLevelType w:val="hybridMultilevel"/>
    <w:tmpl w:val="A2B8D8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EF7799D"/>
    <w:multiLevelType w:val="hybridMultilevel"/>
    <w:tmpl w:val="779E8BE0"/>
    <w:lvl w:ilvl="0" w:tplc="75F6D024">
      <w:start w:val="3"/>
      <w:numFmt w:val="bullet"/>
      <w:lvlText w:val="-"/>
      <w:lvlJc w:val="left"/>
      <w:pPr>
        <w:tabs>
          <w:tab w:val="num" w:pos="720"/>
        </w:tabs>
        <w:ind w:left="720" w:hanging="360"/>
      </w:pPr>
      <w:rPr>
        <w:rFonts w:ascii="Calibri" w:eastAsiaTheme="minorHAnsi" w:hAnsi="Calibri" w:cstheme="minorBidi" w:hint="default"/>
      </w:rPr>
    </w:lvl>
    <w:lvl w:ilvl="1" w:tplc="82461B2E" w:tentative="1">
      <w:start w:val="1"/>
      <w:numFmt w:val="bullet"/>
      <w:lvlText w:val="•"/>
      <w:lvlJc w:val="left"/>
      <w:pPr>
        <w:tabs>
          <w:tab w:val="num" w:pos="1440"/>
        </w:tabs>
        <w:ind w:left="1440" w:hanging="360"/>
      </w:pPr>
      <w:rPr>
        <w:rFonts w:ascii="Arial" w:hAnsi="Arial" w:hint="default"/>
      </w:rPr>
    </w:lvl>
    <w:lvl w:ilvl="2" w:tplc="10025AB8" w:tentative="1">
      <w:start w:val="1"/>
      <w:numFmt w:val="bullet"/>
      <w:lvlText w:val="•"/>
      <w:lvlJc w:val="left"/>
      <w:pPr>
        <w:tabs>
          <w:tab w:val="num" w:pos="2160"/>
        </w:tabs>
        <w:ind w:left="2160" w:hanging="360"/>
      </w:pPr>
      <w:rPr>
        <w:rFonts w:ascii="Arial" w:hAnsi="Arial" w:hint="default"/>
      </w:rPr>
    </w:lvl>
    <w:lvl w:ilvl="3" w:tplc="A4B0A072" w:tentative="1">
      <w:start w:val="1"/>
      <w:numFmt w:val="bullet"/>
      <w:lvlText w:val="•"/>
      <w:lvlJc w:val="left"/>
      <w:pPr>
        <w:tabs>
          <w:tab w:val="num" w:pos="2880"/>
        </w:tabs>
        <w:ind w:left="2880" w:hanging="360"/>
      </w:pPr>
      <w:rPr>
        <w:rFonts w:ascii="Arial" w:hAnsi="Arial" w:hint="default"/>
      </w:rPr>
    </w:lvl>
    <w:lvl w:ilvl="4" w:tplc="C80C0826" w:tentative="1">
      <w:start w:val="1"/>
      <w:numFmt w:val="bullet"/>
      <w:lvlText w:val="•"/>
      <w:lvlJc w:val="left"/>
      <w:pPr>
        <w:tabs>
          <w:tab w:val="num" w:pos="3600"/>
        </w:tabs>
        <w:ind w:left="3600" w:hanging="360"/>
      </w:pPr>
      <w:rPr>
        <w:rFonts w:ascii="Arial" w:hAnsi="Arial" w:hint="default"/>
      </w:rPr>
    </w:lvl>
    <w:lvl w:ilvl="5" w:tplc="0E90158A" w:tentative="1">
      <w:start w:val="1"/>
      <w:numFmt w:val="bullet"/>
      <w:lvlText w:val="•"/>
      <w:lvlJc w:val="left"/>
      <w:pPr>
        <w:tabs>
          <w:tab w:val="num" w:pos="4320"/>
        </w:tabs>
        <w:ind w:left="4320" w:hanging="360"/>
      </w:pPr>
      <w:rPr>
        <w:rFonts w:ascii="Arial" w:hAnsi="Arial" w:hint="default"/>
      </w:rPr>
    </w:lvl>
    <w:lvl w:ilvl="6" w:tplc="B9CE997E" w:tentative="1">
      <w:start w:val="1"/>
      <w:numFmt w:val="bullet"/>
      <w:lvlText w:val="•"/>
      <w:lvlJc w:val="left"/>
      <w:pPr>
        <w:tabs>
          <w:tab w:val="num" w:pos="5040"/>
        </w:tabs>
        <w:ind w:left="5040" w:hanging="360"/>
      </w:pPr>
      <w:rPr>
        <w:rFonts w:ascii="Arial" w:hAnsi="Arial" w:hint="default"/>
      </w:rPr>
    </w:lvl>
    <w:lvl w:ilvl="7" w:tplc="0152DF06" w:tentative="1">
      <w:start w:val="1"/>
      <w:numFmt w:val="bullet"/>
      <w:lvlText w:val="•"/>
      <w:lvlJc w:val="left"/>
      <w:pPr>
        <w:tabs>
          <w:tab w:val="num" w:pos="5760"/>
        </w:tabs>
        <w:ind w:left="5760" w:hanging="360"/>
      </w:pPr>
      <w:rPr>
        <w:rFonts w:ascii="Arial" w:hAnsi="Arial" w:hint="default"/>
      </w:rPr>
    </w:lvl>
    <w:lvl w:ilvl="8" w:tplc="94C48B0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72C445B"/>
    <w:multiLevelType w:val="hybridMultilevel"/>
    <w:tmpl w:val="B9385362"/>
    <w:lvl w:ilvl="0" w:tplc="3DBE1D3A">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B322718"/>
    <w:multiLevelType w:val="hybridMultilevel"/>
    <w:tmpl w:val="0452FF98"/>
    <w:lvl w:ilvl="0" w:tplc="75F6D024">
      <w:start w:val="3"/>
      <w:numFmt w:val="bullet"/>
      <w:lvlText w:val="-"/>
      <w:lvlJc w:val="left"/>
      <w:pPr>
        <w:ind w:left="720" w:hanging="360"/>
      </w:pPr>
      <w:rPr>
        <w:rFonts w:ascii="Calibri" w:eastAsiaTheme="minorHAnsi" w:hAnsi="Calibri" w:cstheme="minorBidi" w:hint="default"/>
      </w:rPr>
    </w:lvl>
    <w:lvl w:ilvl="1" w:tplc="75F6D024">
      <w:start w:val="3"/>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645070"/>
    <w:multiLevelType w:val="hybridMultilevel"/>
    <w:tmpl w:val="42DC6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9743BE"/>
    <w:multiLevelType w:val="hybridMultilevel"/>
    <w:tmpl w:val="04AA5D4E"/>
    <w:lvl w:ilvl="0" w:tplc="0809000F">
      <w:start w:val="1"/>
      <w:numFmt w:val="decimal"/>
      <w:lvlText w:val="%1."/>
      <w:lvlJc w:val="left"/>
      <w:pPr>
        <w:ind w:left="360" w:hanging="360"/>
      </w:pPr>
      <w:rPr>
        <w:rFonts w:hint="default"/>
      </w:rPr>
    </w:lvl>
    <w:lvl w:ilvl="1" w:tplc="75F6D024">
      <w:start w:val="3"/>
      <w:numFmt w:val="bullet"/>
      <w:lvlText w:val="-"/>
      <w:lvlJc w:val="left"/>
      <w:pPr>
        <w:ind w:left="1080" w:hanging="360"/>
      </w:pPr>
      <w:rPr>
        <w:rFonts w:ascii="Calibri" w:eastAsiaTheme="minorHAnsi" w:hAnsi="Calibri" w:cstheme="minorBidi" w:hint="default"/>
      </w:rPr>
    </w:lvl>
    <w:lvl w:ilvl="2" w:tplc="0809000B">
      <w:start w:val="1"/>
      <w:numFmt w:val="bullet"/>
      <w:lvlText w:val=""/>
      <w:lvlJc w:val="left"/>
      <w:pPr>
        <w:ind w:left="1800" w:hanging="180"/>
      </w:pPr>
      <w:rPr>
        <w:rFonts w:ascii="Wingdings" w:hAnsi="Wingding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E9A123C"/>
    <w:multiLevelType w:val="hybridMultilevel"/>
    <w:tmpl w:val="15B06C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130456C"/>
    <w:multiLevelType w:val="hybridMultilevel"/>
    <w:tmpl w:val="172438DE"/>
    <w:lvl w:ilvl="0" w:tplc="49C8E652">
      <w:numFmt w:val="bullet"/>
      <w:lvlText w:val="-"/>
      <w:lvlJc w:val="left"/>
      <w:pPr>
        <w:ind w:left="1080" w:hanging="360"/>
      </w:pPr>
      <w:rPr>
        <w:rFonts w:ascii="Calibri" w:eastAsiaTheme="minorHAnsi" w:hAnsi="Calibri" w:cs="Calibr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B7820D1"/>
    <w:multiLevelType w:val="hybridMultilevel"/>
    <w:tmpl w:val="52FACD9C"/>
    <w:lvl w:ilvl="0" w:tplc="49C8E652">
      <w:numFmt w:val="bullet"/>
      <w:lvlText w:val="-"/>
      <w:lvlJc w:val="left"/>
      <w:pPr>
        <w:ind w:left="1080" w:hanging="360"/>
      </w:pPr>
      <w:rPr>
        <w:rFonts w:ascii="Calibri" w:eastAsiaTheme="minorHAnsi" w:hAnsi="Calibri" w:cs="Calibr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1"/>
  </w:num>
  <w:num w:numId="4">
    <w:abstractNumId w:val="4"/>
  </w:num>
  <w:num w:numId="5">
    <w:abstractNumId w:val="10"/>
  </w:num>
  <w:num w:numId="6">
    <w:abstractNumId w:val="3"/>
  </w:num>
  <w:num w:numId="7">
    <w:abstractNumId w:val="5"/>
  </w:num>
  <w:num w:numId="8">
    <w:abstractNumId w:val="0"/>
  </w:num>
  <w:num w:numId="9">
    <w:abstractNumId w:val="2"/>
  </w:num>
  <w:num w:numId="10">
    <w:abstractNumId w:val="11"/>
  </w:num>
  <w:num w:numId="11">
    <w:abstractNumId w:val="8"/>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FFF"/>
    <w:rsid w:val="004B4AFD"/>
    <w:rsid w:val="007F7FFE"/>
    <w:rsid w:val="00BA5FFF"/>
    <w:rsid w:val="00E6314C"/>
    <w:rsid w:val="00F27C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CF3E3"/>
  <w15:chartTrackingRefBased/>
  <w15:docId w15:val="{54B5F4D8-17E6-4AC4-AB58-047F199CD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FFF"/>
    <w:rPr>
      <w:color w:val="0563C1" w:themeColor="hyperlink"/>
      <w:u w:val="single"/>
    </w:rPr>
  </w:style>
  <w:style w:type="paragraph" w:styleId="ListParagraph">
    <w:name w:val="List Paragraph"/>
    <w:basedOn w:val="Normal"/>
    <w:uiPriority w:val="34"/>
    <w:qFormat/>
    <w:rsid w:val="00BA5FFF"/>
    <w:pPr>
      <w:spacing w:after="200" w:line="276" w:lineRule="auto"/>
      <w:ind w:left="720"/>
      <w:contextualSpacing/>
    </w:pPr>
  </w:style>
  <w:style w:type="table" w:styleId="TableGrid">
    <w:name w:val="Table Grid"/>
    <w:basedOn w:val="TableNormal"/>
    <w:uiPriority w:val="39"/>
    <w:rsid w:val="00BA5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A5FFF"/>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BA5FFF"/>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mcdade@rsph.org.uk" TargetMode="External"/><Relationship Id="rId5" Type="http://schemas.openxmlformats.org/officeDocument/2006/relationships/hyperlink" Target="mailto:nmcdade@rsph.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8621C279</Template>
  <TotalTime>6</TotalTime>
  <Pages>5</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RSPH</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McDade</dc:creator>
  <cp:keywords/>
  <dc:description/>
  <cp:lastModifiedBy>Niamh McDade</cp:lastModifiedBy>
  <cp:revision>3</cp:revision>
  <dcterms:created xsi:type="dcterms:W3CDTF">2020-02-20T10:03:00Z</dcterms:created>
  <dcterms:modified xsi:type="dcterms:W3CDTF">2020-02-21T09:32:00Z</dcterms:modified>
</cp:coreProperties>
</file>